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505" w:rsidP="00242505" w:rsidRDefault="00242505">
      <w:pPr>
        <w:pStyle w:val="Paragraph"/>
        <w:jc w:val="left"/>
        <w:sectPr w:rsidR="00242505">
          <w:pgSz w:w="12240" w:h="15840"/>
          <w:pgMar w:top="1440" w:right="1440" w:bottom="1440" w:left="1440" w:header="720" w:footer="720" w:gutter="0"/>
          <w:cols w:space="720"/>
        </w:sectPr>
      </w:pPr>
      <w:r>
        <w:t xml:space="preserve">Document title: Assured </w:t>
      </w:r>
      <w:proofErr w:type="spellStart"/>
      <w:r>
        <w:t>shorthold</w:t>
      </w:r>
      <w:proofErr w:type="spellEnd"/>
      <w:r>
        <w:t xml:space="preserve"> tenancy agreement.</w:t>
      </w:r>
    </w:p>
    <w:p w:rsidR="00242505" w:rsidP="00242505" w:rsidRDefault="00242505">
      <w:pPr>
        <w:pStyle w:val="CoversheetStaticText"/>
        <w:rPr>
          <w:b/>
        </w:rPr>
      </w:pPr>
      <w:r>
        <w:rPr>
          <w:b/>
        </w:rPr>
        <w:lastRenderedPageBreak/>
        <w:t>DATED</w:t>
      </w:r>
    </w:p>
    <w:p w:rsidR="00242505" w:rsidP="00242505" w:rsidRDefault="00242505">
      <w:pPr>
        <w:pStyle w:val="CoversheetStaticText"/>
        <w:rPr>
          <w:b/>
        </w:rPr>
      </w:pPr>
      <w:r>
        <w:t>------------</w:t>
      </w:r>
    </w:p>
    <w:p w:rsidR="00242505" w:rsidP="00242505" w:rsidRDefault="00242505">
      <w:pPr>
        <w:pStyle w:val="CoversheetTitle"/>
      </w:pPr>
      <w:r>
        <w:t xml:space="preserve">Assured </w:t>
      </w:r>
      <w:proofErr w:type="spellStart"/>
      <w:r>
        <w:t>shorthold</w:t>
      </w:r>
      <w:proofErr w:type="spellEnd"/>
      <w:r>
        <w:t xml:space="preserve"> tenancy agreement</w:t>
      </w:r>
    </w:p>
    <w:p w:rsidR="00242505" w:rsidP="00242505" w:rsidRDefault="00242505">
      <w:pPr>
        <w:pStyle w:val="CoversheetIntro"/>
      </w:pPr>
      <w:proofErr w:type="gramStart"/>
      <w:r>
        <w:t>relating</w:t>
      </w:r>
      <w:proofErr w:type="gramEnd"/>
      <w:r>
        <w:t xml:space="preserve"> to</w:t>
      </w:r>
    </w:p>
    <w:p w:rsidR="00242505" w:rsidP="00242505" w:rsidRDefault="00242505">
      <w:pPr>
        <w:pStyle w:val="CoverSheetSubjectText"/>
      </w:pPr>
      <w:r>
        <w:t>[</w:t>
      </w:r>
      <w:proofErr w:type="gramStart"/>
      <w:r>
        <w:t>description</w:t>
      </w:r>
      <w:proofErr w:type="gramEnd"/>
      <w:r>
        <w:t xml:space="preserve"> of the property]</w:t>
      </w:r>
    </w:p>
    <w:p w:rsidR="00242505" w:rsidP="00242505" w:rsidRDefault="00242505">
      <w:pPr>
        <w:pStyle w:val="CoversheetStaticText"/>
      </w:pPr>
      <w:r>
        <w:t>[between/among]</w:t>
      </w:r>
    </w:p>
    <w:p w:rsidR="00242505" w:rsidP="00242505" w:rsidRDefault="00242505">
      <w:pPr>
        <w:pStyle w:val="CoversheetParty"/>
      </w:pPr>
      <w:r>
        <w:t>The Landlord</w:t>
      </w:r>
    </w:p>
    <w:p w:rsidR="00242505" w:rsidP="00242505" w:rsidRDefault="00242505">
      <w:pPr>
        <w:pStyle w:val="CoversheetStaticText"/>
      </w:pPr>
      <w:proofErr w:type="gramStart"/>
      <w:r>
        <w:t>and</w:t>
      </w:r>
      <w:proofErr w:type="gramEnd"/>
    </w:p>
    <w:p w:rsidR="00242505" w:rsidP="00242505" w:rsidRDefault="00242505">
      <w:pPr>
        <w:pStyle w:val="CoversheetParty"/>
      </w:pPr>
      <w:r>
        <w:t>The Tenant</w:t>
      </w:r>
    </w:p>
    <w:p w:rsidR="00242505" w:rsidRDefault="00242505">
      <w:pPr>
        <w:sectPr w:rsidR="00242505">
          <w:type w:val="continuous"/>
          <w:pgSz w:w="12240" w:h="15840"/>
          <w:pgMar w:top="1440" w:right="1440" w:bottom="1440" w:left="1440" w:header="720" w:footer="720" w:gutter="0"/>
          <w:cols w:space="720"/>
        </w:sectPr>
      </w:pPr>
    </w:p>
    <w:p w:rsidR="00242505" w:rsidP="00242505" w:rsidRDefault="00242505">
      <w:pPr>
        <w:pStyle w:val="HeadingLevel2"/>
      </w:pPr>
      <w:r>
        <w:lastRenderedPageBreak/>
        <w:t>CONTENTS</w:t>
      </w:r>
    </w:p>
    <w:p w:rsidR="00242505" w:rsidP="00242505" w:rsidRDefault="00242505">
      <w:pPr>
        <w:pStyle w:val="HeadingLevel2"/>
      </w:pPr>
      <w:r>
        <w:t>____________________________________________________________</w:t>
      </w:r>
    </w:p>
    <w:p w:rsidR="00242505" w:rsidP="00242505" w:rsidRDefault="00242505">
      <w:pPr>
        <w:pStyle w:val="HeadingLevel2"/>
      </w:pPr>
      <w:r>
        <w:t>CLAUSE</w:t>
      </w:r>
    </w:p>
    <w:p w:rsidR="007773A3" w:rsidRDefault="00242505">
      <w:pPr>
        <w:pStyle w:val="TOC1"/>
        <w:tabs>
          <w:tab w:val="left" w:pos="440"/>
          <w:tab w:val="right" w:leader="dot" w:pos="9350"/>
        </w:tabs>
        <w:rPr>
          <w:rFonts w:asciiTheme="minorHAnsi" w:hAnsiTheme="minorHAnsi" w:eastAsiaTheme="minorEastAsia" w:cstheme="minorBidi"/>
          <w:noProof/>
          <w:color w:val="auto"/>
        </w:rPr>
      </w:pPr>
      <w:r>
        <w:fldChar w:fldCharType="begin"/>
      </w:r>
      <w:r>
        <w:instrText>TOC \t "Title Clause, 1" \h</w:instrText>
      </w:r>
      <w:r>
        <w:fldChar w:fldCharType="separate"/>
      </w:r>
      <w:hyperlink w:history="1" w:anchor="_Toc113920807">
        <w:r w:rsidRPr="00A5299A" w:rsidR="007773A3">
          <w:rPr>
            <w:rStyle w:val="Hyperlink"/>
            <w:noProof/>
          </w:rPr>
          <w:t>1.</w:t>
        </w:r>
        <w:r w:rsidR="007773A3">
          <w:rPr>
            <w:rFonts w:asciiTheme="minorHAnsi" w:hAnsiTheme="minorHAnsi" w:eastAsiaTheme="minorEastAsia" w:cstheme="minorBidi"/>
            <w:noProof/>
            <w:color w:val="auto"/>
          </w:rPr>
          <w:tab/>
        </w:r>
        <w:r w:rsidRPr="00A5299A" w:rsidR="007773A3">
          <w:rPr>
            <w:rStyle w:val="Hyperlink"/>
            <w:noProof/>
          </w:rPr>
          <w:t>Interpretation</w:t>
        </w:r>
        <w:r w:rsidR="007773A3">
          <w:rPr>
            <w:noProof/>
          </w:rPr>
          <w:tab/>
        </w:r>
        <w:r w:rsidR="007773A3">
          <w:rPr>
            <w:noProof/>
          </w:rPr>
          <w:fldChar w:fldCharType="begin"/>
        </w:r>
        <w:r w:rsidR="007773A3">
          <w:rPr>
            <w:noProof/>
          </w:rPr>
          <w:instrText xml:space="preserve"> PAGEREF _Toc113920807 \h </w:instrText>
        </w:r>
        <w:r w:rsidR="007773A3">
          <w:rPr>
            <w:noProof/>
          </w:rPr>
        </w:r>
        <w:r w:rsidR="007773A3">
          <w:rPr>
            <w:noProof/>
          </w:rPr>
          <w:fldChar w:fldCharType="separate"/>
        </w:r>
        <w:r w:rsidR="007773A3">
          <w:rPr>
            <w:noProof/>
          </w:rPr>
          <w:t>2</w:t>
        </w:r>
        <w:r w:rsidR="007773A3">
          <w:rPr>
            <w:noProof/>
          </w:rPr>
          <w:fldChar w:fldCharType="end"/>
        </w:r>
      </w:hyperlink>
    </w:p>
    <w:p w:rsidR="007773A3" w:rsidRDefault="007773A3">
      <w:pPr>
        <w:pStyle w:val="TOC1"/>
        <w:tabs>
          <w:tab w:val="left" w:pos="440"/>
          <w:tab w:val="right" w:leader="dot" w:pos="9350"/>
        </w:tabs>
        <w:rPr>
          <w:rFonts w:asciiTheme="minorHAnsi" w:hAnsiTheme="minorHAnsi" w:eastAsiaTheme="minorEastAsia" w:cstheme="minorBidi"/>
          <w:noProof/>
          <w:color w:val="auto"/>
        </w:rPr>
      </w:pPr>
      <w:hyperlink w:history="1" w:anchor="_Toc113920808">
        <w:r w:rsidRPr="00A5299A">
          <w:rPr>
            <w:rStyle w:val="Hyperlink"/>
            <w:noProof/>
          </w:rPr>
          <w:t>2.</w:t>
        </w:r>
        <w:r>
          <w:rPr>
            <w:rFonts w:asciiTheme="minorHAnsi" w:hAnsiTheme="minorHAnsi" w:eastAsiaTheme="minorEastAsia" w:cstheme="minorBidi"/>
            <w:noProof/>
            <w:color w:val="auto"/>
          </w:rPr>
          <w:tab/>
        </w:r>
        <w:r w:rsidRPr="00A5299A">
          <w:rPr>
            <w:rStyle w:val="Hyperlink"/>
            <w:noProof/>
          </w:rPr>
          <w:t>Grant of the Tenancy</w:t>
        </w:r>
        <w:r>
          <w:rPr>
            <w:noProof/>
          </w:rPr>
          <w:tab/>
        </w:r>
        <w:r>
          <w:rPr>
            <w:noProof/>
          </w:rPr>
          <w:fldChar w:fldCharType="begin"/>
        </w:r>
        <w:r>
          <w:rPr>
            <w:noProof/>
          </w:rPr>
          <w:instrText xml:space="preserve"> PAGEREF _Toc113920808 \h </w:instrText>
        </w:r>
        <w:r>
          <w:rPr>
            <w:noProof/>
          </w:rPr>
        </w:r>
        <w:r>
          <w:rPr>
            <w:noProof/>
          </w:rPr>
          <w:fldChar w:fldCharType="separate"/>
        </w:r>
        <w:r>
          <w:rPr>
            <w:noProof/>
          </w:rPr>
          <w:t>4</w:t>
        </w:r>
        <w:r>
          <w:rPr>
            <w:noProof/>
          </w:rPr>
          <w:fldChar w:fldCharType="end"/>
        </w:r>
      </w:hyperlink>
    </w:p>
    <w:p w:rsidR="007773A3" w:rsidRDefault="007773A3">
      <w:pPr>
        <w:pStyle w:val="TOC1"/>
        <w:tabs>
          <w:tab w:val="left" w:pos="440"/>
          <w:tab w:val="right" w:leader="dot" w:pos="9350"/>
        </w:tabs>
        <w:rPr>
          <w:rFonts w:asciiTheme="minorHAnsi" w:hAnsiTheme="minorHAnsi" w:eastAsiaTheme="minorEastAsia" w:cstheme="minorBidi"/>
          <w:noProof/>
          <w:color w:val="auto"/>
        </w:rPr>
      </w:pPr>
      <w:hyperlink w:history="1" w:anchor="_Toc113920809">
        <w:r w:rsidRPr="00A5299A">
          <w:rPr>
            <w:rStyle w:val="Hyperlink"/>
            <w:noProof/>
          </w:rPr>
          <w:t>3.</w:t>
        </w:r>
        <w:r>
          <w:rPr>
            <w:rFonts w:asciiTheme="minorHAnsi" w:hAnsiTheme="minorHAnsi" w:eastAsiaTheme="minorEastAsia" w:cstheme="minorBidi"/>
            <w:noProof/>
            <w:color w:val="auto"/>
          </w:rPr>
          <w:tab/>
        </w:r>
        <w:r w:rsidRPr="00A5299A">
          <w:rPr>
            <w:rStyle w:val="Hyperlink"/>
            <w:noProof/>
          </w:rPr>
          <w:t>Contents and keys</w:t>
        </w:r>
        <w:r>
          <w:rPr>
            <w:noProof/>
          </w:rPr>
          <w:tab/>
        </w:r>
        <w:r>
          <w:rPr>
            <w:noProof/>
          </w:rPr>
          <w:fldChar w:fldCharType="begin"/>
        </w:r>
        <w:r>
          <w:rPr>
            <w:noProof/>
          </w:rPr>
          <w:instrText xml:space="preserve"> PAGEREF _Toc113920809 \h </w:instrText>
        </w:r>
        <w:r>
          <w:rPr>
            <w:noProof/>
          </w:rPr>
        </w:r>
        <w:r>
          <w:rPr>
            <w:noProof/>
          </w:rPr>
          <w:fldChar w:fldCharType="separate"/>
        </w:r>
        <w:r>
          <w:rPr>
            <w:noProof/>
          </w:rPr>
          <w:t>4</w:t>
        </w:r>
        <w:r>
          <w:rPr>
            <w:noProof/>
          </w:rPr>
          <w:fldChar w:fldCharType="end"/>
        </w:r>
      </w:hyperlink>
    </w:p>
    <w:p w:rsidR="007773A3" w:rsidRDefault="007773A3">
      <w:pPr>
        <w:pStyle w:val="TOC1"/>
        <w:tabs>
          <w:tab w:val="left" w:pos="440"/>
          <w:tab w:val="right" w:leader="dot" w:pos="9350"/>
        </w:tabs>
        <w:rPr>
          <w:rFonts w:asciiTheme="minorHAnsi" w:hAnsiTheme="minorHAnsi" w:eastAsiaTheme="minorEastAsia" w:cstheme="minorBidi"/>
          <w:noProof/>
          <w:color w:val="auto"/>
        </w:rPr>
      </w:pPr>
      <w:hyperlink w:history="1" w:anchor="_Toc113920810">
        <w:r w:rsidRPr="00A5299A">
          <w:rPr>
            <w:rStyle w:val="Hyperlink"/>
            <w:noProof/>
          </w:rPr>
          <w:t>4.</w:t>
        </w:r>
        <w:r>
          <w:rPr>
            <w:rFonts w:asciiTheme="minorHAnsi" w:hAnsiTheme="minorHAnsi" w:eastAsiaTheme="minorEastAsia" w:cstheme="minorBidi"/>
            <w:noProof/>
            <w:color w:val="auto"/>
          </w:rPr>
          <w:tab/>
        </w:r>
        <w:r w:rsidRPr="00A5299A">
          <w:rPr>
            <w:rStyle w:val="Hyperlink"/>
            <w:noProof/>
          </w:rPr>
          <w:t>Rent</w:t>
        </w:r>
        <w:r>
          <w:rPr>
            <w:noProof/>
          </w:rPr>
          <w:tab/>
        </w:r>
        <w:r>
          <w:rPr>
            <w:noProof/>
          </w:rPr>
          <w:fldChar w:fldCharType="begin"/>
        </w:r>
        <w:r>
          <w:rPr>
            <w:noProof/>
          </w:rPr>
          <w:instrText xml:space="preserve"> PAGEREF _Toc113920810 \h </w:instrText>
        </w:r>
        <w:r>
          <w:rPr>
            <w:noProof/>
          </w:rPr>
        </w:r>
        <w:r>
          <w:rPr>
            <w:noProof/>
          </w:rPr>
          <w:fldChar w:fldCharType="separate"/>
        </w:r>
        <w:r>
          <w:rPr>
            <w:noProof/>
          </w:rPr>
          <w:t>5</w:t>
        </w:r>
        <w:r>
          <w:rPr>
            <w:noProof/>
          </w:rPr>
          <w:fldChar w:fldCharType="end"/>
        </w:r>
      </w:hyperlink>
    </w:p>
    <w:p w:rsidR="007773A3" w:rsidRDefault="007773A3">
      <w:pPr>
        <w:pStyle w:val="TOC1"/>
        <w:tabs>
          <w:tab w:val="left" w:pos="440"/>
          <w:tab w:val="right" w:leader="dot" w:pos="9350"/>
        </w:tabs>
        <w:rPr>
          <w:rFonts w:asciiTheme="minorHAnsi" w:hAnsiTheme="minorHAnsi" w:eastAsiaTheme="minorEastAsia" w:cstheme="minorBidi"/>
          <w:noProof/>
          <w:color w:val="auto"/>
        </w:rPr>
      </w:pPr>
      <w:hyperlink w:history="1" w:anchor="_Toc113920811">
        <w:r w:rsidRPr="00A5299A">
          <w:rPr>
            <w:rStyle w:val="Hyperlink"/>
            <w:noProof/>
          </w:rPr>
          <w:t>5.</w:t>
        </w:r>
        <w:r w:rsidRPr="00A5299A">
          <w:rPr>
            <w:rStyle w:val="Hyperlink"/>
            <w:noProof/>
          </w:rPr>
          <w:fldChar w:fldCharType="begin"/>
        </w:r>
        <w:r w:rsidRPr="00A5299A">
          <w:rPr>
            <w:rStyle w:val="Hyperlink"/>
            <w:noProof/>
          </w:rPr>
          <w:fldChar w:fldCharType="end"/>
        </w:r>
        <w:r>
          <w:rPr>
            <w:rFonts w:asciiTheme="minorHAnsi" w:hAnsiTheme="minorHAnsi" w:eastAsiaTheme="minorEastAsia" w:cstheme="minorBidi"/>
            <w:noProof/>
            <w:color w:val="auto"/>
          </w:rPr>
          <w:tab/>
        </w:r>
        <w:r w:rsidRPr="00A5299A">
          <w:rPr>
            <w:rStyle w:val="Hyperlink"/>
            <w:noProof/>
          </w:rPr>
          <w:t>Deposit</w:t>
        </w:r>
        <w:r>
          <w:rPr>
            <w:noProof/>
          </w:rPr>
          <w:tab/>
        </w:r>
        <w:r>
          <w:rPr>
            <w:noProof/>
          </w:rPr>
          <w:fldChar w:fldCharType="begin"/>
        </w:r>
        <w:r>
          <w:rPr>
            <w:noProof/>
          </w:rPr>
          <w:instrText xml:space="preserve"> PAGEREF _Toc113920811 \h </w:instrText>
        </w:r>
        <w:r>
          <w:rPr>
            <w:noProof/>
          </w:rPr>
        </w:r>
        <w:r>
          <w:rPr>
            <w:noProof/>
          </w:rPr>
          <w:fldChar w:fldCharType="separate"/>
        </w:r>
        <w:r>
          <w:rPr>
            <w:noProof/>
          </w:rPr>
          <w:t>5</w:t>
        </w:r>
        <w:r>
          <w:rPr>
            <w:noProof/>
          </w:rPr>
          <w:fldChar w:fldCharType="end"/>
        </w:r>
      </w:hyperlink>
    </w:p>
    <w:p w:rsidR="007773A3" w:rsidRDefault="007773A3">
      <w:pPr>
        <w:pStyle w:val="TOC1"/>
        <w:tabs>
          <w:tab w:val="left" w:pos="440"/>
          <w:tab w:val="right" w:leader="dot" w:pos="9350"/>
        </w:tabs>
        <w:rPr>
          <w:rFonts w:asciiTheme="minorHAnsi" w:hAnsiTheme="minorHAnsi" w:eastAsiaTheme="minorEastAsia" w:cstheme="minorBidi"/>
          <w:noProof/>
          <w:color w:val="auto"/>
        </w:rPr>
      </w:pPr>
      <w:hyperlink w:history="1" w:anchor="_Toc113920812">
        <w:r w:rsidRPr="00A5299A">
          <w:rPr>
            <w:rStyle w:val="Hyperlink"/>
            <w:noProof/>
          </w:rPr>
          <w:t>6.</w:t>
        </w:r>
        <w:r w:rsidRPr="00A5299A">
          <w:rPr>
            <w:rStyle w:val="Hyperlink"/>
            <w:noProof/>
          </w:rPr>
          <w:fldChar w:fldCharType="begin"/>
        </w:r>
        <w:r w:rsidRPr="00A5299A">
          <w:rPr>
            <w:rStyle w:val="Hyperlink"/>
            <w:noProof/>
          </w:rPr>
          <w:fldChar w:fldCharType="end"/>
        </w:r>
        <w:r>
          <w:rPr>
            <w:rFonts w:asciiTheme="minorHAnsi" w:hAnsiTheme="minorHAnsi" w:eastAsiaTheme="minorEastAsia" w:cstheme="minorBidi"/>
            <w:noProof/>
            <w:color w:val="auto"/>
          </w:rPr>
          <w:tab/>
        </w:r>
        <w:r w:rsidRPr="00A5299A">
          <w:rPr>
            <w:rStyle w:val="Hyperlink"/>
            <w:noProof/>
          </w:rPr>
          <w:t>TDS arrangements</w:t>
        </w:r>
        <w:r>
          <w:rPr>
            <w:noProof/>
          </w:rPr>
          <w:tab/>
        </w:r>
        <w:r>
          <w:rPr>
            <w:noProof/>
          </w:rPr>
          <w:fldChar w:fldCharType="begin"/>
        </w:r>
        <w:r>
          <w:rPr>
            <w:noProof/>
          </w:rPr>
          <w:instrText xml:space="preserve"> PAGEREF _Toc113920812 \h </w:instrText>
        </w:r>
        <w:r>
          <w:rPr>
            <w:noProof/>
          </w:rPr>
        </w:r>
        <w:r>
          <w:rPr>
            <w:noProof/>
          </w:rPr>
          <w:fldChar w:fldCharType="separate"/>
        </w:r>
        <w:r>
          <w:rPr>
            <w:noProof/>
          </w:rPr>
          <w:t>6</w:t>
        </w:r>
        <w:r>
          <w:rPr>
            <w:noProof/>
          </w:rPr>
          <w:fldChar w:fldCharType="end"/>
        </w:r>
      </w:hyperlink>
    </w:p>
    <w:p w:rsidR="007773A3" w:rsidRDefault="007773A3">
      <w:pPr>
        <w:pStyle w:val="TOC1"/>
        <w:tabs>
          <w:tab w:val="left" w:pos="440"/>
          <w:tab w:val="right" w:leader="dot" w:pos="9350"/>
        </w:tabs>
        <w:rPr>
          <w:rFonts w:asciiTheme="minorHAnsi" w:hAnsiTheme="minorHAnsi" w:eastAsiaTheme="minorEastAsia" w:cstheme="minorBidi"/>
          <w:noProof/>
          <w:color w:val="auto"/>
        </w:rPr>
      </w:pPr>
      <w:hyperlink w:history="1" w:anchor="_Toc113920813">
        <w:r w:rsidRPr="00A5299A">
          <w:rPr>
            <w:rStyle w:val="Hyperlink"/>
            <w:noProof/>
          </w:rPr>
          <w:t>7.</w:t>
        </w:r>
        <w:r>
          <w:rPr>
            <w:rFonts w:asciiTheme="minorHAnsi" w:hAnsiTheme="minorHAnsi" w:eastAsiaTheme="minorEastAsia" w:cstheme="minorBidi"/>
            <w:noProof/>
            <w:color w:val="auto"/>
          </w:rPr>
          <w:tab/>
        </w:r>
        <w:r w:rsidRPr="00A5299A">
          <w:rPr>
            <w:rStyle w:val="Hyperlink"/>
            <w:noProof/>
          </w:rPr>
          <w:t>Use of Property</w:t>
        </w:r>
        <w:r>
          <w:rPr>
            <w:noProof/>
          </w:rPr>
          <w:tab/>
        </w:r>
        <w:r>
          <w:rPr>
            <w:noProof/>
          </w:rPr>
          <w:fldChar w:fldCharType="begin"/>
        </w:r>
        <w:r>
          <w:rPr>
            <w:noProof/>
          </w:rPr>
          <w:instrText xml:space="preserve"> PAGEREF _Toc113920813 \h </w:instrText>
        </w:r>
        <w:r>
          <w:rPr>
            <w:noProof/>
          </w:rPr>
        </w:r>
        <w:r>
          <w:rPr>
            <w:noProof/>
          </w:rPr>
          <w:fldChar w:fldCharType="separate"/>
        </w:r>
        <w:r>
          <w:rPr>
            <w:noProof/>
          </w:rPr>
          <w:t>6</w:t>
        </w:r>
        <w:r>
          <w:rPr>
            <w:noProof/>
          </w:rPr>
          <w:fldChar w:fldCharType="end"/>
        </w:r>
      </w:hyperlink>
    </w:p>
    <w:p w:rsidR="007773A3" w:rsidRDefault="007773A3">
      <w:pPr>
        <w:pStyle w:val="TOC1"/>
        <w:tabs>
          <w:tab w:val="left" w:pos="440"/>
          <w:tab w:val="right" w:leader="dot" w:pos="9350"/>
        </w:tabs>
        <w:rPr>
          <w:rFonts w:asciiTheme="minorHAnsi" w:hAnsiTheme="minorHAnsi" w:eastAsiaTheme="minorEastAsia" w:cstheme="minorBidi"/>
          <w:noProof/>
          <w:color w:val="auto"/>
        </w:rPr>
      </w:pPr>
      <w:hyperlink w:history="1" w:anchor="_Toc113920814">
        <w:r w:rsidRPr="00A5299A">
          <w:rPr>
            <w:rStyle w:val="Hyperlink"/>
            <w:noProof/>
          </w:rPr>
          <w:t>8.</w:t>
        </w:r>
        <w:r>
          <w:rPr>
            <w:rFonts w:asciiTheme="minorHAnsi" w:hAnsiTheme="minorHAnsi" w:eastAsiaTheme="minorEastAsia" w:cstheme="minorBidi"/>
            <w:noProof/>
            <w:color w:val="auto"/>
          </w:rPr>
          <w:tab/>
        </w:r>
        <w:r w:rsidRPr="00A5299A">
          <w:rPr>
            <w:rStyle w:val="Hyperlink"/>
            <w:noProof/>
          </w:rPr>
          <w:t>Assignment or subletting</w:t>
        </w:r>
        <w:r>
          <w:rPr>
            <w:noProof/>
          </w:rPr>
          <w:tab/>
        </w:r>
        <w:r>
          <w:rPr>
            <w:noProof/>
          </w:rPr>
          <w:fldChar w:fldCharType="begin"/>
        </w:r>
        <w:r>
          <w:rPr>
            <w:noProof/>
          </w:rPr>
          <w:instrText xml:space="preserve"> PAGEREF _Toc113920814 \h </w:instrText>
        </w:r>
        <w:r>
          <w:rPr>
            <w:noProof/>
          </w:rPr>
        </w:r>
        <w:r>
          <w:rPr>
            <w:noProof/>
          </w:rPr>
          <w:fldChar w:fldCharType="separate"/>
        </w:r>
        <w:r>
          <w:rPr>
            <w:noProof/>
          </w:rPr>
          <w:t>7</w:t>
        </w:r>
        <w:r>
          <w:rPr>
            <w:noProof/>
          </w:rPr>
          <w:fldChar w:fldCharType="end"/>
        </w:r>
      </w:hyperlink>
    </w:p>
    <w:p w:rsidR="007773A3" w:rsidRDefault="007773A3">
      <w:pPr>
        <w:pStyle w:val="TOC1"/>
        <w:tabs>
          <w:tab w:val="left" w:pos="440"/>
          <w:tab w:val="right" w:leader="dot" w:pos="9350"/>
        </w:tabs>
        <w:rPr>
          <w:rFonts w:asciiTheme="minorHAnsi" w:hAnsiTheme="minorHAnsi" w:eastAsiaTheme="minorEastAsia" w:cstheme="minorBidi"/>
          <w:noProof/>
          <w:color w:val="auto"/>
        </w:rPr>
      </w:pPr>
      <w:hyperlink w:history="1" w:anchor="_Toc113920815">
        <w:r w:rsidRPr="00A5299A">
          <w:rPr>
            <w:rStyle w:val="Hyperlink"/>
            <w:noProof/>
          </w:rPr>
          <w:t>9.</w:t>
        </w:r>
        <w:r>
          <w:rPr>
            <w:rFonts w:asciiTheme="minorHAnsi" w:hAnsiTheme="minorHAnsi" w:eastAsiaTheme="minorEastAsia" w:cstheme="minorBidi"/>
            <w:noProof/>
            <w:color w:val="auto"/>
          </w:rPr>
          <w:tab/>
        </w:r>
        <w:r w:rsidRPr="00A5299A">
          <w:rPr>
            <w:rStyle w:val="Hyperlink"/>
            <w:noProof/>
          </w:rPr>
          <w:t>Repairs and alterations</w:t>
        </w:r>
        <w:r>
          <w:rPr>
            <w:noProof/>
          </w:rPr>
          <w:tab/>
        </w:r>
        <w:r>
          <w:rPr>
            <w:noProof/>
          </w:rPr>
          <w:fldChar w:fldCharType="begin"/>
        </w:r>
        <w:r>
          <w:rPr>
            <w:noProof/>
          </w:rPr>
          <w:instrText xml:space="preserve"> PAGEREF _Toc113920815 \h </w:instrText>
        </w:r>
        <w:r>
          <w:rPr>
            <w:noProof/>
          </w:rPr>
        </w:r>
        <w:r>
          <w:rPr>
            <w:noProof/>
          </w:rPr>
          <w:fldChar w:fldCharType="separate"/>
        </w:r>
        <w:r>
          <w:rPr>
            <w:noProof/>
          </w:rPr>
          <w:t>7</w:t>
        </w:r>
        <w:r>
          <w:rPr>
            <w:noProof/>
          </w:rPr>
          <w:fldChar w:fldCharType="end"/>
        </w:r>
      </w:hyperlink>
    </w:p>
    <w:p w:rsidR="007773A3" w:rsidRDefault="007773A3">
      <w:pPr>
        <w:pStyle w:val="TOC1"/>
        <w:tabs>
          <w:tab w:val="left" w:pos="660"/>
          <w:tab w:val="right" w:leader="dot" w:pos="9350"/>
        </w:tabs>
        <w:rPr>
          <w:rFonts w:asciiTheme="minorHAnsi" w:hAnsiTheme="minorHAnsi" w:eastAsiaTheme="minorEastAsia" w:cstheme="minorBidi"/>
          <w:noProof/>
          <w:color w:val="auto"/>
        </w:rPr>
      </w:pPr>
      <w:hyperlink w:history="1" w:anchor="_Toc113920816">
        <w:r w:rsidRPr="00A5299A">
          <w:rPr>
            <w:rStyle w:val="Hyperlink"/>
            <w:noProof/>
          </w:rPr>
          <w:t>10.</w:t>
        </w:r>
        <w:r>
          <w:rPr>
            <w:rFonts w:asciiTheme="minorHAnsi" w:hAnsiTheme="minorHAnsi" w:eastAsiaTheme="minorEastAsia" w:cstheme="minorBidi"/>
            <w:noProof/>
            <w:color w:val="auto"/>
          </w:rPr>
          <w:tab/>
        </w:r>
        <w:r w:rsidRPr="00A5299A">
          <w:rPr>
            <w:rStyle w:val="Hyperlink"/>
            <w:noProof/>
          </w:rPr>
          <w:t>Utilities and outgoings</w:t>
        </w:r>
        <w:r>
          <w:rPr>
            <w:noProof/>
          </w:rPr>
          <w:tab/>
        </w:r>
        <w:r>
          <w:rPr>
            <w:noProof/>
          </w:rPr>
          <w:fldChar w:fldCharType="begin"/>
        </w:r>
        <w:r>
          <w:rPr>
            <w:noProof/>
          </w:rPr>
          <w:instrText xml:space="preserve"> PAGEREF _Toc113920816 \h </w:instrText>
        </w:r>
        <w:r>
          <w:rPr>
            <w:noProof/>
          </w:rPr>
        </w:r>
        <w:r>
          <w:rPr>
            <w:noProof/>
          </w:rPr>
          <w:fldChar w:fldCharType="separate"/>
        </w:r>
        <w:r>
          <w:rPr>
            <w:noProof/>
          </w:rPr>
          <w:t>8</w:t>
        </w:r>
        <w:r>
          <w:rPr>
            <w:noProof/>
          </w:rPr>
          <w:fldChar w:fldCharType="end"/>
        </w:r>
      </w:hyperlink>
    </w:p>
    <w:p w:rsidR="007773A3" w:rsidRDefault="007773A3">
      <w:pPr>
        <w:pStyle w:val="TOC1"/>
        <w:tabs>
          <w:tab w:val="left" w:pos="660"/>
          <w:tab w:val="right" w:leader="dot" w:pos="9350"/>
        </w:tabs>
        <w:rPr>
          <w:rFonts w:asciiTheme="minorHAnsi" w:hAnsiTheme="minorHAnsi" w:eastAsiaTheme="minorEastAsia" w:cstheme="minorBidi"/>
          <w:noProof/>
          <w:color w:val="auto"/>
        </w:rPr>
      </w:pPr>
      <w:hyperlink w:history="1" w:anchor="_Toc113920817">
        <w:r w:rsidRPr="00A5299A">
          <w:rPr>
            <w:rStyle w:val="Hyperlink"/>
            <w:noProof/>
          </w:rPr>
          <w:t>11.</w:t>
        </w:r>
        <w:r>
          <w:rPr>
            <w:rFonts w:asciiTheme="minorHAnsi" w:hAnsiTheme="minorHAnsi" w:eastAsiaTheme="minorEastAsia" w:cstheme="minorBidi"/>
            <w:noProof/>
            <w:color w:val="auto"/>
          </w:rPr>
          <w:tab/>
        </w:r>
        <w:r w:rsidRPr="00A5299A">
          <w:rPr>
            <w:rStyle w:val="Hyperlink"/>
            <w:noProof/>
          </w:rPr>
          <w:t>Landlord's covenants</w:t>
        </w:r>
        <w:r>
          <w:rPr>
            <w:noProof/>
          </w:rPr>
          <w:tab/>
        </w:r>
        <w:r>
          <w:rPr>
            <w:noProof/>
          </w:rPr>
          <w:fldChar w:fldCharType="begin"/>
        </w:r>
        <w:r>
          <w:rPr>
            <w:noProof/>
          </w:rPr>
          <w:instrText xml:space="preserve"> PAGEREF _Toc113920817 \h </w:instrText>
        </w:r>
        <w:r>
          <w:rPr>
            <w:noProof/>
          </w:rPr>
        </w:r>
        <w:r>
          <w:rPr>
            <w:noProof/>
          </w:rPr>
          <w:fldChar w:fldCharType="separate"/>
        </w:r>
        <w:r>
          <w:rPr>
            <w:noProof/>
          </w:rPr>
          <w:t>8</w:t>
        </w:r>
        <w:r>
          <w:rPr>
            <w:noProof/>
          </w:rPr>
          <w:fldChar w:fldCharType="end"/>
        </w:r>
      </w:hyperlink>
    </w:p>
    <w:p w:rsidR="007773A3" w:rsidRDefault="007773A3">
      <w:pPr>
        <w:pStyle w:val="TOC1"/>
        <w:tabs>
          <w:tab w:val="left" w:pos="660"/>
          <w:tab w:val="right" w:leader="dot" w:pos="9350"/>
        </w:tabs>
        <w:rPr>
          <w:rFonts w:asciiTheme="minorHAnsi" w:hAnsiTheme="minorHAnsi" w:eastAsiaTheme="minorEastAsia" w:cstheme="minorBidi"/>
          <w:noProof/>
          <w:color w:val="auto"/>
        </w:rPr>
      </w:pPr>
      <w:hyperlink w:history="1" w:anchor="_Toc113920818">
        <w:r w:rsidRPr="00A5299A">
          <w:rPr>
            <w:rStyle w:val="Hyperlink"/>
            <w:noProof/>
          </w:rPr>
          <w:t>12.</w:t>
        </w:r>
        <w:r>
          <w:rPr>
            <w:rFonts w:asciiTheme="minorHAnsi" w:hAnsiTheme="minorHAnsi" w:eastAsiaTheme="minorEastAsia" w:cstheme="minorBidi"/>
            <w:noProof/>
            <w:color w:val="auto"/>
          </w:rPr>
          <w:tab/>
        </w:r>
        <w:r w:rsidRPr="00A5299A">
          <w:rPr>
            <w:rStyle w:val="Hyperlink"/>
            <w:noProof/>
          </w:rPr>
          <w:t>Default by the Tenant</w:t>
        </w:r>
        <w:r>
          <w:rPr>
            <w:noProof/>
          </w:rPr>
          <w:tab/>
        </w:r>
        <w:r>
          <w:rPr>
            <w:noProof/>
          </w:rPr>
          <w:fldChar w:fldCharType="begin"/>
        </w:r>
        <w:r>
          <w:rPr>
            <w:noProof/>
          </w:rPr>
          <w:instrText xml:space="preserve"> PAGEREF _Toc113920818 \h </w:instrText>
        </w:r>
        <w:r>
          <w:rPr>
            <w:noProof/>
          </w:rPr>
        </w:r>
        <w:r>
          <w:rPr>
            <w:noProof/>
          </w:rPr>
          <w:fldChar w:fldCharType="separate"/>
        </w:r>
        <w:r>
          <w:rPr>
            <w:noProof/>
          </w:rPr>
          <w:t>10</w:t>
        </w:r>
        <w:r>
          <w:rPr>
            <w:noProof/>
          </w:rPr>
          <w:fldChar w:fldCharType="end"/>
        </w:r>
      </w:hyperlink>
    </w:p>
    <w:p w:rsidR="007773A3" w:rsidRDefault="007773A3">
      <w:pPr>
        <w:pStyle w:val="TOC1"/>
        <w:tabs>
          <w:tab w:val="left" w:pos="660"/>
          <w:tab w:val="right" w:leader="dot" w:pos="9350"/>
        </w:tabs>
        <w:rPr>
          <w:rFonts w:asciiTheme="minorHAnsi" w:hAnsiTheme="minorHAnsi" w:eastAsiaTheme="minorEastAsia" w:cstheme="minorBidi"/>
          <w:noProof/>
          <w:color w:val="auto"/>
        </w:rPr>
      </w:pPr>
      <w:hyperlink w:history="1" w:anchor="_Toc113920819">
        <w:r w:rsidRPr="00A5299A">
          <w:rPr>
            <w:rStyle w:val="Hyperlink"/>
            <w:noProof/>
          </w:rPr>
          <w:t>13.</w:t>
        </w:r>
        <w:r>
          <w:rPr>
            <w:rFonts w:asciiTheme="minorHAnsi" w:hAnsiTheme="minorHAnsi" w:eastAsiaTheme="minorEastAsia" w:cstheme="minorBidi"/>
            <w:noProof/>
            <w:color w:val="auto"/>
          </w:rPr>
          <w:tab/>
        </w:r>
        <w:r w:rsidRPr="00A5299A">
          <w:rPr>
            <w:rStyle w:val="Hyperlink"/>
            <w:noProof/>
          </w:rPr>
          <w:t>Landlord's right to enter the Property and to display signs</w:t>
        </w:r>
        <w:r>
          <w:rPr>
            <w:noProof/>
          </w:rPr>
          <w:tab/>
        </w:r>
        <w:r>
          <w:rPr>
            <w:noProof/>
          </w:rPr>
          <w:fldChar w:fldCharType="begin"/>
        </w:r>
        <w:r>
          <w:rPr>
            <w:noProof/>
          </w:rPr>
          <w:instrText xml:space="preserve"> PAGEREF _Toc113920819 \h </w:instrText>
        </w:r>
        <w:r>
          <w:rPr>
            <w:noProof/>
          </w:rPr>
        </w:r>
        <w:r>
          <w:rPr>
            <w:noProof/>
          </w:rPr>
          <w:fldChar w:fldCharType="separate"/>
        </w:r>
        <w:r>
          <w:rPr>
            <w:noProof/>
          </w:rPr>
          <w:t>10</w:t>
        </w:r>
        <w:r>
          <w:rPr>
            <w:noProof/>
          </w:rPr>
          <w:fldChar w:fldCharType="end"/>
        </w:r>
      </w:hyperlink>
    </w:p>
    <w:p w:rsidR="007773A3" w:rsidRDefault="007773A3">
      <w:pPr>
        <w:pStyle w:val="TOC1"/>
        <w:tabs>
          <w:tab w:val="left" w:pos="660"/>
          <w:tab w:val="right" w:leader="dot" w:pos="9350"/>
        </w:tabs>
        <w:rPr>
          <w:rFonts w:asciiTheme="minorHAnsi" w:hAnsiTheme="minorHAnsi" w:eastAsiaTheme="minorEastAsia" w:cstheme="minorBidi"/>
          <w:noProof/>
          <w:color w:val="auto"/>
        </w:rPr>
      </w:pPr>
      <w:hyperlink w:history="1" w:anchor="_Toc113920820">
        <w:r w:rsidRPr="00A5299A">
          <w:rPr>
            <w:rStyle w:val="Hyperlink"/>
            <w:noProof/>
          </w:rPr>
          <w:t>14.</w:t>
        </w:r>
        <w:r>
          <w:rPr>
            <w:rFonts w:asciiTheme="minorHAnsi" w:hAnsiTheme="minorHAnsi" w:eastAsiaTheme="minorEastAsia" w:cstheme="minorBidi"/>
            <w:noProof/>
            <w:color w:val="auto"/>
          </w:rPr>
          <w:tab/>
        </w:r>
        <w:r w:rsidRPr="00A5299A">
          <w:rPr>
            <w:rStyle w:val="Hyperlink"/>
            <w:noProof/>
          </w:rPr>
          <w:t>Expiry of the Tenancy</w:t>
        </w:r>
        <w:r>
          <w:rPr>
            <w:noProof/>
          </w:rPr>
          <w:tab/>
        </w:r>
        <w:r>
          <w:rPr>
            <w:noProof/>
          </w:rPr>
          <w:fldChar w:fldCharType="begin"/>
        </w:r>
        <w:r>
          <w:rPr>
            <w:noProof/>
          </w:rPr>
          <w:instrText xml:space="preserve"> PAGEREF _Toc113920820 \h </w:instrText>
        </w:r>
        <w:r>
          <w:rPr>
            <w:noProof/>
          </w:rPr>
        </w:r>
        <w:r>
          <w:rPr>
            <w:noProof/>
          </w:rPr>
          <w:fldChar w:fldCharType="separate"/>
        </w:r>
        <w:r>
          <w:rPr>
            <w:noProof/>
          </w:rPr>
          <w:t>11</w:t>
        </w:r>
        <w:r>
          <w:rPr>
            <w:noProof/>
          </w:rPr>
          <w:fldChar w:fldCharType="end"/>
        </w:r>
      </w:hyperlink>
    </w:p>
    <w:p w:rsidR="007773A3" w:rsidRDefault="007773A3">
      <w:pPr>
        <w:pStyle w:val="TOC1"/>
        <w:tabs>
          <w:tab w:val="left" w:pos="660"/>
          <w:tab w:val="right" w:leader="dot" w:pos="9350"/>
        </w:tabs>
        <w:rPr>
          <w:rFonts w:asciiTheme="minorHAnsi" w:hAnsiTheme="minorHAnsi" w:eastAsiaTheme="minorEastAsia" w:cstheme="minorBidi"/>
          <w:noProof/>
          <w:color w:val="auto"/>
        </w:rPr>
      </w:pPr>
      <w:hyperlink w:history="1" w:anchor="_Toc113920821">
        <w:r w:rsidRPr="00A5299A">
          <w:rPr>
            <w:rStyle w:val="Hyperlink"/>
            <w:noProof/>
          </w:rPr>
          <w:t>15.</w:t>
        </w:r>
        <w:r>
          <w:rPr>
            <w:rFonts w:asciiTheme="minorHAnsi" w:hAnsiTheme="minorHAnsi" w:eastAsiaTheme="minorEastAsia" w:cstheme="minorBidi"/>
            <w:noProof/>
            <w:color w:val="auto"/>
          </w:rPr>
          <w:tab/>
        </w:r>
        <w:r w:rsidRPr="00A5299A">
          <w:rPr>
            <w:rStyle w:val="Hyperlink"/>
            <w:noProof/>
          </w:rPr>
          <w:t>Notices</w:t>
        </w:r>
        <w:r>
          <w:rPr>
            <w:noProof/>
          </w:rPr>
          <w:tab/>
        </w:r>
        <w:r>
          <w:rPr>
            <w:noProof/>
          </w:rPr>
          <w:fldChar w:fldCharType="begin"/>
        </w:r>
        <w:r>
          <w:rPr>
            <w:noProof/>
          </w:rPr>
          <w:instrText xml:space="preserve"> PAGEREF _Toc113920821 \h </w:instrText>
        </w:r>
        <w:r>
          <w:rPr>
            <w:noProof/>
          </w:rPr>
        </w:r>
        <w:r>
          <w:rPr>
            <w:noProof/>
          </w:rPr>
          <w:fldChar w:fldCharType="separate"/>
        </w:r>
        <w:r>
          <w:rPr>
            <w:noProof/>
          </w:rPr>
          <w:t>11</w:t>
        </w:r>
        <w:r>
          <w:rPr>
            <w:noProof/>
          </w:rPr>
          <w:fldChar w:fldCharType="end"/>
        </w:r>
      </w:hyperlink>
    </w:p>
    <w:p w:rsidR="007773A3" w:rsidRDefault="007773A3">
      <w:pPr>
        <w:pStyle w:val="TOC1"/>
        <w:tabs>
          <w:tab w:val="left" w:pos="660"/>
          <w:tab w:val="right" w:leader="dot" w:pos="9350"/>
        </w:tabs>
        <w:rPr>
          <w:rFonts w:asciiTheme="minorHAnsi" w:hAnsiTheme="minorHAnsi" w:eastAsiaTheme="minorEastAsia" w:cstheme="minorBidi"/>
          <w:noProof/>
          <w:color w:val="auto"/>
        </w:rPr>
      </w:pPr>
      <w:hyperlink w:history="1" w:anchor="_Toc113920822">
        <w:r w:rsidRPr="00A5299A">
          <w:rPr>
            <w:rStyle w:val="Hyperlink"/>
            <w:noProof/>
          </w:rPr>
          <w:t>16.</w:t>
        </w:r>
        <w:r>
          <w:rPr>
            <w:rFonts w:asciiTheme="minorHAnsi" w:hAnsiTheme="minorHAnsi" w:eastAsiaTheme="minorEastAsia" w:cstheme="minorBidi"/>
            <w:noProof/>
            <w:color w:val="auto"/>
          </w:rPr>
          <w:tab/>
        </w:r>
        <w:r w:rsidRPr="00A5299A">
          <w:rPr>
            <w:rStyle w:val="Hyperlink"/>
            <w:noProof/>
          </w:rPr>
          <w:t>Data Protection and Confidentiality</w:t>
        </w:r>
        <w:r>
          <w:rPr>
            <w:noProof/>
          </w:rPr>
          <w:tab/>
        </w:r>
        <w:r>
          <w:rPr>
            <w:noProof/>
          </w:rPr>
          <w:fldChar w:fldCharType="begin"/>
        </w:r>
        <w:r>
          <w:rPr>
            <w:noProof/>
          </w:rPr>
          <w:instrText xml:space="preserve"> PAGEREF _Toc113920822 \h </w:instrText>
        </w:r>
        <w:r>
          <w:rPr>
            <w:noProof/>
          </w:rPr>
        </w:r>
        <w:r>
          <w:rPr>
            <w:noProof/>
          </w:rPr>
          <w:fldChar w:fldCharType="separate"/>
        </w:r>
        <w:r>
          <w:rPr>
            <w:noProof/>
          </w:rPr>
          <w:t>12</w:t>
        </w:r>
        <w:r>
          <w:rPr>
            <w:noProof/>
          </w:rPr>
          <w:fldChar w:fldCharType="end"/>
        </w:r>
      </w:hyperlink>
    </w:p>
    <w:p w:rsidR="007773A3" w:rsidRDefault="007773A3">
      <w:pPr>
        <w:pStyle w:val="TOC1"/>
        <w:tabs>
          <w:tab w:val="left" w:pos="660"/>
          <w:tab w:val="right" w:leader="dot" w:pos="9350"/>
        </w:tabs>
        <w:rPr>
          <w:rFonts w:asciiTheme="minorHAnsi" w:hAnsiTheme="minorHAnsi" w:eastAsiaTheme="minorEastAsia" w:cstheme="minorBidi"/>
          <w:noProof/>
          <w:color w:val="auto"/>
        </w:rPr>
      </w:pPr>
      <w:hyperlink w:history="1" w:anchor="_Toc113920823">
        <w:r w:rsidRPr="00A5299A">
          <w:rPr>
            <w:rStyle w:val="Hyperlink"/>
            <w:noProof/>
          </w:rPr>
          <w:t>17.</w:t>
        </w:r>
        <w:r>
          <w:rPr>
            <w:rFonts w:asciiTheme="minorHAnsi" w:hAnsiTheme="minorHAnsi" w:eastAsiaTheme="minorEastAsia" w:cstheme="minorBidi"/>
            <w:noProof/>
            <w:color w:val="auto"/>
          </w:rPr>
          <w:tab/>
        </w:r>
        <w:r w:rsidRPr="00A5299A">
          <w:rPr>
            <w:rStyle w:val="Hyperlink"/>
            <w:noProof/>
          </w:rPr>
          <w:t>Governing law</w:t>
        </w:r>
        <w:r>
          <w:rPr>
            <w:noProof/>
          </w:rPr>
          <w:tab/>
        </w:r>
        <w:r>
          <w:rPr>
            <w:noProof/>
          </w:rPr>
          <w:fldChar w:fldCharType="begin"/>
        </w:r>
        <w:r>
          <w:rPr>
            <w:noProof/>
          </w:rPr>
          <w:instrText xml:space="preserve"> PAGEREF _Toc113920823 \h </w:instrText>
        </w:r>
        <w:r>
          <w:rPr>
            <w:noProof/>
          </w:rPr>
        </w:r>
        <w:r>
          <w:rPr>
            <w:noProof/>
          </w:rPr>
          <w:fldChar w:fldCharType="separate"/>
        </w:r>
        <w:r>
          <w:rPr>
            <w:noProof/>
          </w:rPr>
          <w:t>12</w:t>
        </w:r>
        <w:r>
          <w:rPr>
            <w:noProof/>
          </w:rPr>
          <w:fldChar w:fldCharType="end"/>
        </w:r>
      </w:hyperlink>
    </w:p>
    <w:p w:rsidR="00242505" w:rsidP="00242505" w:rsidRDefault="00242505">
      <w:pPr>
        <w:pStyle w:val="HeadingLevel2"/>
      </w:pPr>
      <w:r>
        <w:fldChar w:fldCharType="end"/>
      </w:r>
    </w:p>
    <w:p w:rsidR="00242505" w:rsidP="00242505" w:rsidRDefault="00242505">
      <w:pPr>
        <w:pStyle w:val="HeadingLevel2"/>
      </w:pPr>
      <w:r>
        <w:t>SCHEDULE</w:t>
      </w:r>
    </w:p>
    <w:p w:rsidR="00242505" w:rsidRDefault="00242505">
      <w:pPr>
        <w:pStyle w:val="TOC1"/>
        <w:tabs>
          <w:tab w:val="left" w:pos="1540"/>
          <w:tab w:val="right" w:leader="dot" w:pos="9350"/>
        </w:tabs>
        <w:rPr>
          <w:rFonts w:ascii="Calibri" w:hAnsi="Calibri"/>
          <w:noProof/>
        </w:rPr>
      </w:pPr>
      <w:r>
        <w:fldChar w:fldCharType="begin"/>
      </w:r>
      <w:r>
        <w:instrText>TOC \t "Schedule Title Clause, 1, Schedule, 1, Part, 1, Part Title, 1" \h</w:instrText>
      </w:r>
      <w:r>
        <w:fldChar w:fldCharType="separate"/>
      </w:r>
      <w:hyperlink w:history="1" w:anchor="_Toc256000017">
        <w:r>
          <w:rPr>
            <w:rStyle w:val="Hyperlink"/>
          </w:rPr>
          <w:t>Schedule 1</w:t>
        </w:r>
        <w:r>
          <w:rPr>
            <w:rStyle w:val="Hyperlink"/>
            <w:rFonts w:ascii="Calibri" w:hAnsi="Calibri"/>
            <w:noProof/>
          </w:rPr>
          <w:tab/>
        </w:r>
        <w:r>
          <w:rPr>
            <w:rStyle w:val="Hyperlink"/>
          </w:rPr>
          <w:t>Lawful Occupiers</w:t>
        </w:r>
        <w:r>
          <w:rPr>
            <w:rStyle w:val="Hyperlink"/>
          </w:rPr>
          <w:tab/>
        </w:r>
        <w:r>
          <w:fldChar w:fldCharType="begin"/>
        </w:r>
        <w:r>
          <w:rPr>
            <w:rStyle w:val="Hyperlink"/>
          </w:rPr>
          <w:instrText xml:space="preserve"> PAGEREF _Toc256000017 \h </w:instrText>
        </w:r>
        <w:r>
          <w:fldChar w:fldCharType="separate"/>
        </w:r>
        <w:r>
          <w:rPr>
            <w:rStyle w:val="Hyperlink"/>
          </w:rPr>
          <w:t>15</w:t>
        </w:r>
        <w:r>
          <w:fldChar w:fldCharType="end"/>
        </w:r>
      </w:hyperlink>
    </w:p>
    <w:p w:rsidR="00242505" w:rsidP="00242505" w:rsidRDefault="00242505">
      <w:pPr>
        <w:pStyle w:val="HeadingLevel2"/>
      </w:pPr>
      <w:r>
        <w:fldChar w:fldCharType="end"/>
      </w:r>
    </w:p>
    <w:p w:rsidR="00242505" w:rsidP="00242505" w:rsidRDefault="00242505">
      <w:pPr>
        <w:pStyle w:val="HeadingLevel2"/>
        <w:sectPr w:rsidR="00242505">
          <w:footerReference w:type="default" r:id="rId11"/>
          <w:pgSz w:w="12240" w:h="15840"/>
          <w:pgMar w:top="1440" w:right="1440" w:bottom="1440" w:left="1440" w:header="720" w:footer="720" w:gutter="0"/>
          <w:pgNumType w:start="1"/>
          <w:cols w:space="720"/>
        </w:sectPr>
      </w:pPr>
    </w:p>
    <w:p w:rsidR="00242505" w:rsidP="00242505" w:rsidRDefault="00242505">
      <w:pPr>
        <w:pStyle w:val="HeadingLevel2"/>
      </w:pPr>
    </w:p>
    <w:p w:rsidR="00242505" w:rsidP="00242505" w:rsidRDefault="00242505">
      <w:pPr>
        <w:pStyle w:val="IntroDefault"/>
      </w:pPr>
      <w:r>
        <w:t>This agreement is dated [DATE]</w:t>
      </w:r>
    </w:p>
    <w:p w:rsidR="00242505" w:rsidP="00242505" w:rsidRDefault="00242505">
      <w:pPr>
        <w:pStyle w:val="DescriptiveHeading"/>
      </w:pPr>
      <w:r>
        <w:t>Parties</w:t>
      </w:r>
    </w:p>
    <w:p w:rsidR="00242505" w:rsidP="00242505" w:rsidRDefault="00242505">
      <w:pPr>
        <w:pStyle w:val="Parties"/>
      </w:pPr>
      <w:r>
        <w:t>[INDIVIDUAL NAME] of [INDIVIDUAL ADDRESS] (</w:t>
      </w:r>
      <w:r>
        <w:rPr>
          <w:rStyle w:val="DefTerm"/>
        </w:rPr>
        <w:t>Landlord</w:t>
      </w:r>
      <w:r>
        <w:t xml:space="preserve">) </w:t>
      </w:r>
    </w:p>
    <w:p w:rsidR="00242505" w:rsidP="00242505" w:rsidRDefault="00242505">
      <w:pPr>
        <w:pStyle w:val="Parties"/>
      </w:pPr>
      <w:r>
        <w:t>[INDIVIDU</w:t>
      </w:r>
      <w:r w:rsidR="00EB62D3">
        <w:t>AL NAME] of [INDIVIDUAL ADDRESS</w:t>
      </w:r>
      <w:r>
        <w:t>] (</w:t>
      </w:r>
      <w:r>
        <w:rPr>
          <w:rStyle w:val="DefTerm"/>
        </w:rPr>
        <w:t>Tenant</w:t>
      </w:r>
      <w:r>
        <w:t xml:space="preserve">) </w:t>
      </w:r>
    </w:p>
    <w:p w:rsidR="00242505" w:rsidP="00242505" w:rsidRDefault="00242505">
      <w:pPr>
        <w:pStyle w:val="DescriptiveHeading"/>
      </w:pPr>
      <w:r>
        <w:t>Agreed terms</w:t>
      </w:r>
    </w:p>
    <w:p w:rsidR="00242505" w:rsidP="00242505" w:rsidRDefault="00242505">
      <w:pPr>
        <w:pStyle w:val="TitleClause"/>
      </w:pPr>
      <w:r>
        <w:fldChar w:fldCharType="begin"/>
      </w:r>
      <w:r>
        <w:instrText>TC "1. Interpretation" \l 1</w:instrText>
      </w:r>
      <w:r>
        <w:fldChar w:fldCharType="end"/>
      </w:r>
      <w:bookmarkStart w:name="a340172" w:id="0"/>
      <w:bookmarkStart w:name="_Toc113920807" w:id="1"/>
      <w:r>
        <w:t>Interpretation</w:t>
      </w:r>
      <w:bookmarkEnd w:id="0"/>
      <w:bookmarkEnd w:id="1"/>
    </w:p>
    <w:p w:rsidR="00242505" w:rsidP="00242505" w:rsidRDefault="00242505">
      <w:pPr>
        <w:pStyle w:val="ParaClause"/>
      </w:pPr>
      <w:r>
        <w:t>The following definitions and rules of interpretation apply in this agreement.</w:t>
      </w:r>
    </w:p>
    <w:p w:rsidR="00242505" w:rsidP="00242505" w:rsidRDefault="00242505">
      <w:pPr>
        <w:pStyle w:val="Untitledsubclause1"/>
      </w:pPr>
      <w:bookmarkStart w:name="a607205" w:id="2"/>
      <w:r>
        <w:t>Definitions:</w:t>
      </w:r>
      <w:bookmarkEnd w:id="2"/>
    </w:p>
    <w:p w:rsidR="00242505" w:rsidP="00242505" w:rsidRDefault="00242505">
      <w:pPr>
        <w:pStyle w:val="DefinedTermPara"/>
        <w:rPr>
          <w:rStyle w:val="DefTerm"/>
        </w:rPr>
      </w:pPr>
      <w:bookmarkStart w:name="a191657" w:id="3"/>
      <w:r>
        <w:rPr>
          <w:rStyle w:val="DefTerm"/>
          <w:b w:val="0"/>
        </w:rPr>
        <w:t>[</w:t>
      </w:r>
      <w:r>
        <w:rPr>
          <w:rStyle w:val="DefTerm"/>
        </w:rPr>
        <w:t>Agent</w:t>
      </w:r>
      <w:r>
        <w:rPr>
          <w:rStyle w:val="DefTerm"/>
        </w:rPr>
        <w:fldChar w:fldCharType="begin"/>
      </w:r>
      <w:r>
        <w:rPr>
          <w:rStyle w:val="DefTerm"/>
        </w:rPr>
        <w:instrText xml:space="preserve"> MACROBUTTON optional </w:instrText>
      </w:r>
      <w:r>
        <w:rPr>
          <w:rStyle w:val="DefTerm"/>
        </w:rPr>
        <w:fldChar w:fldCharType="end"/>
      </w:r>
      <w:r>
        <w:t>: person or company responsible for letting or managing the property.]</w:t>
      </w:r>
      <w:bookmarkEnd w:id="3"/>
    </w:p>
    <w:p w:rsidRPr="00242505" w:rsidR="00242505" w:rsidP="00242505" w:rsidRDefault="00242505">
      <w:pPr>
        <w:pStyle w:val="DefinedTermPara"/>
        <w:rPr>
          <w:rFonts w:eastAsia="Arial"/>
          <w:b/>
        </w:rPr>
      </w:pPr>
      <w:bookmarkStart w:name="a980554" w:id="4"/>
      <w:r>
        <w:rPr>
          <w:rStyle w:val="DefTerm"/>
        </w:rPr>
        <w:t>Contents</w:t>
      </w:r>
      <w:r>
        <w:t>: the furniture, furnishings and any other items set out in the Inventory and Schedule of Condition.</w:t>
      </w:r>
      <w:bookmarkEnd w:id="4"/>
    </w:p>
    <w:p w:rsidR="00242505" w:rsidP="00242505" w:rsidRDefault="00242505">
      <w:pPr>
        <w:pStyle w:val="DefinedTermPara"/>
        <w:rPr>
          <w:rStyle w:val="DefTerm"/>
        </w:rPr>
      </w:pPr>
      <w:r>
        <w:rPr>
          <w:rStyle w:val="DefTerm"/>
        </w:rPr>
        <w:t>Common Parts</w:t>
      </w:r>
      <w:r>
        <w:t xml:space="preserve">: </w:t>
      </w:r>
      <w:r w:rsidRPr="00242505">
        <w:t>any part of a building containing the Property and any land or premises which the Tenant is entitled under the terms of this Tenancy to use in common with the owners or occupiers of other dwellings</w:t>
      </w:r>
      <w:r>
        <w:t>.</w:t>
      </w:r>
    </w:p>
    <w:p w:rsidR="00242505" w:rsidP="00242505" w:rsidRDefault="00242505">
      <w:pPr>
        <w:pStyle w:val="DefinedTermPara"/>
        <w:rPr>
          <w:rStyle w:val="DefTerm"/>
        </w:rPr>
      </w:pPr>
      <w:bookmarkStart w:name="a527391" w:id="5"/>
      <w:r>
        <w:rPr>
          <w:rStyle w:val="DefTerm"/>
          <w:b w:val="0"/>
        </w:rPr>
        <w:t>[</w:t>
      </w:r>
      <w:r>
        <w:rPr>
          <w:rStyle w:val="DefTerm"/>
        </w:rPr>
        <w:t>Deposit</w:t>
      </w:r>
      <w:r>
        <w:rPr>
          <w:rStyle w:val="DefTerm"/>
        </w:rPr>
        <w:fldChar w:fldCharType="begin"/>
      </w:r>
      <w:r>
        <w:rPr>
          <w:rStyle w:val="DefTerm"/>
        </w:rPr>
        <w:instrText xml:space="preserve"> MACROBUTTON optional </w:instrText>
      </w:r>
      <w:r>
        <w:rPr>
          <w:rStyle w:val="DefTerm"/>
        </w:rPr>
        <w:fldChar w:fldCharType="end"/>
      </w:r>
      <w:r>
        <w:t xml:space="preserve">: </w:t>
      </w:r>
      <w:proofErr w:type="gramStart"/>
      <w:r>
        <w:t>£[</w:t>
      </w:r>
      <w:proofErr w:type="gramEnd"/>
      <w:r>
        <w:t>AMOUNT].]</w:t>
      </w:r>
      <w:bookmarkEnd w:id="5"/>
    </w:p>
    <w:p w:rsidRPr="00A67429" w:rsidR="00242505" w:rsidP="00242505" w:rsidRDefault="00242505">
      <w:pPr>
        <w:pStyle w:val="DefinedTermPara"/>
        <w:rPr>
          <w:b/>
        </w:rPr>
      </w:pPr>
      <w:bookmarkStart w:name="a785113" w:id="6"/>
      <w:r>
        <w:rPr>
          <w:rStyle w:val="DefTerm"/>
        </w:rPr>
        <w:t>Energy Performance Certificate</w:t>
      </w:r>
      <w:r>
        <w:t>: a certificate as defined in regulation 2(1) of the EPC Regulations.</w:t>
      </w:r>
      <w:bookmarkEnd w:id="6"/>
    </w:p>
    <w:p w:rsidRPr="00A67429" w:rsidR="00242505" w:rsidP="00242505" w:rsidRDefault="00242505">
      <w:pPr>
        <w:pStyle w:val="DefinedTermPara"/>
      </w:pPr>
      <w:bookmarkStart w:name="a860859" w:id="7"/>
      <w:r>
        <w:rPr>
          <w:rStyle w:val="DefTerm"/>
        </w:rPr>
        <w:t>EPC Regulations</w:t>
      </w:r>
      <w:r>
        <w:t>: Energy Performance of Buildings (England and Wales) Regulations 2012 (SI 2012/3118).</w:t>
      </w:r>
      <w:bookmarkEnd w:id="7"/>
    </w:p>
    <w:p w:rsidRPr="00A67429" w:rsidR="00242505" w:rsidP="00242505" w:rsidRDefault="00242505">
      <w:pPr>
        <w:pStyle w:val="DefinedTermPara"/>
      </w:pPr>
      <w:bookmarkStart w:name="a727548" w:id="8"/>
      <w:r>
        <w:rPr>
          <w:rStyle w:val="DefTerm"/>
        </w:rPr>
        <w:t>First Rent Payment Date</w:t>
      </w:r>
      <w:r>
        <w:t>: [DATE]</w:t>
      </w:r>
      <w:bookmarkEnd w:id="8"/>
    </w:p>
    <w:p w:rsidR="00242505" w:rsidP="00242505" w:rsidRDefault="00242505">
      <w:pPr>
        <w:pStyle w:val="DefinedTermPara"/>
        <w:rPr>
          <w:rStyle w:val="DefTerm"/>
        </w:rPr>
      </w:pPr>
      <w:bookmarkStart w:name="a262884" w:id="9"/>
      <w:r>
        <w:rPr>
          <w:rStyle w:val="DefTerm"/>
        </w:rPr>
        <w:t>HA 1988</w:t>
      </w:r>
      <w:r>
        <w:t>: Housing Act 1988.</w:t>
      </w:r>
      <w:bookmarkEnd w:id="9"/>
    </w:p>
    <w:p w:rsidR="00242505" w:rsidP="00242505" w:rsidRDefault="00242505">
      <w:pPr>
        <w:pStyle w:val="DefinedTermPara"/>
        <w:rPr>
          <w:rStyle w:val="DefTerm"/>
        </w:rPr>
      </w:pPr>
      <w:bookmarkStart w:name="a393104" w:id="10"/>
      <w:r>
        <w:rPr>
          <w:rStyle w:val="DefTerm"/>
        </w:rPr>
        <w:t>HA 2004</w:t>
      </w:r>
      <w:r>
        <w:rPr>
          <w:rStyle w:val="DefTerm"/>
        </w:rPr>
        <w:fldChar w:fldCharType="begin"/>
      </w:r>
      <w:r>
        <w:rPr>
          <w:rStyle w:val="DefTerm"/>
        </w:rPr>
        <w:instrText xml:space="preserve"> MACROBUTTON optional </w:instrText>
      </w:r>
      <w:r>
        <w:rPr>
          <w:rStyle w:val="DefTerm"/>
        </w:rPr>
        <w:fldChar w:fldCharType="end"/>
      </w:r>
      <w:r>
        <w:t>: Housing Act 2004.</w:t>
      </w:r>
      <w:bookmarkEnd w:id="10"/>
    </w:p>
    <w:p w:rsidRPr="002527FD" w:rsidR="00242505" w:rsidP="00242505" w:rsidRDefault="00242505">
      <w:pPr>
        <w:pStyle w:val="DefinedTermPara"/>
        <w:rPr>
          <w:b/>
        </w:rPr>
      </w:pPr>
      <w:bookmarkStart w:name="a673405" w:id="11"/>
      <w:r>
        <w:rPr>
          <w:rStyle w:val="DefTerm"/>
        </w:rPr>
        <w:t>Insured Risks</w:t>
      </w:r>
      <w:r>
        <w:t>: means fire, explosion, lightning, earthquake, storm,</w:t>
      </w:r>
      <w:r w:rsidR="007773A3">
        <w:t xml:space="preserve"> terrorism,</w:t>
      </w:r>
      <w:r>
        <w:t xml:space="preserve"> flood, bursting and overflowing of water tanks, apparatus or pipes, impact by aircraft and articles dropped from them, impact by vehicles, riot, civil commotion and any other risks against which the Landlord decides to insure from time to time and Insured Risk means any one of the Insured Risks.</w:t>
      </w:r>
      <w:bookmarkEnd w:id="11"/>
    </w:p>
    <w:p w:rsidR="00242505" w:rsidP="00242505" w:rsidRDefault="00242505">
      <w:pPr>
        <w:pStyle w:val="DefinedTermPara"/>
        <w:rPr>
          <w:rStyle w:val="DefTerm"/>
        </w:rPr>
      </w:pPr>
      <w:bookmarkStart w:name="a379069" w:id="12"/>
      <w:r>
        <w:rPr>
          <w:rStyle w:val="DefTerm"/>
        </w:rPr>
        <w:t>Inventory and Schedule of Condition</w:t>
      </w:r>
      <w:r>
        <w:t>: the list of Contents and description of the condition of the Property attached to this agreement and signed by the parties.</w:t>
      </w:r>
      <w:bookmarkEnd w:id="12"/>
    </w:p>
    <w:p w:rsidR="00242505" w:rsidP="00242505" w:rsidRDefault="00242505">
      <w:pPr>
        <w:pStyle w:val="DefinedTermPara"/>
        <w:rPr>
          <w:rStyle w:val="DefTerm"/>
        </w:rPr>
      </w:pPr>
      <w:bookmarkStart w:name="a303949" w:id="13"/>
      <w:r>
        <w:rPr>
          <w:rStyle w:val="DefTerm"/>
        </w:rPr>
        <w:t>Lawful Occupiers</w:t>
      </w:r>
      <w:r>
        <w:t xml:space="preserve">: those persons listed in the </w:t>
      </w:r>
      <w:r>
        <w:fldChar w:fldCharType="begin"/>
      </w:r>
      <w:r>
        <w:rPr>
          <w:highlight w:val="lightGray"/>
        </w:rPr>
        <w:instrText>REF a991103 \h \w</w:instrText>
      </w:r>
      <w:r>
        <w:fldChar w:fldCharType="separate"/>
      </w:r>
      <w:r>
        <w:t>Schedule 1</w:t>
      </w:r>
      <w:r>
        <w:fldChar w:fldCharType="end"/>
      </w:r>
      <w:r>
        <w:t>.</w:t>
      </w:r>
      <w:bookmarkEnd w:id="13"/>
    </w:p>
    <w:p w:rsidR="00242505" w:rsidP="00242505" w:rsidRDefault="00242505">
      <w:pPr>
        <w:pStyle w:val="DefinedTermPara"/>
        <w:rPr>
          <w:rStyle w:val="DefTerm"/>
        </w:rPr>
      </w:pPr>
      <w:bookmarkStart w:name="a100552" w:id="14"/>
      <w:r>
        <w:rPr>
          <w:rStyle w:val="DefTerm"/>
        </w:rPr>
        <w:t>LTA 1985</w:t>
      </w:r>
      <w:r>
        <w:t>: Landlord and Tenant Act 1985.</w:t>
      </w:r>
      <w:bookmarkEnd w:id="14"/>
    </w:p>
    <w:p w:rsidR="00242505" w:rsidP="00242505" w:rsidRDefault="00242505">
      <w:pPr>
        <w:pStyle w:val="DefinedTermPara"/>
        <w:rPr>
          <w:rStyle w:val="DefTerm"/>
        </w:rPr>
      </w:pPr>
      <w:bookmarkStart w:name="a102869" w:id="15"/>
      <w:r>
        <w:rPr>
          <w:rStyle w:val="DefTerm"/>
        </w:rPr>
        <w:t>Property</w:t>
      </w:r>
      <w:r>
        <w:t>: [ADDRESS].</w:t>
      </w:r>
      <w:bookmarkEnd w:id="15"/>
    </w:p>
    <w:p w:rsidR="00242505" w:rsidP="00242505" w:rsidRDefault="00242505">
      <w:pPr>
        <w:pStyle w:val="DefinedTermPara"/>
      </w:pPr>
      <w:bookmarkStart w:name="a699984" w:id="16"/>
      <w:r>
        <w:rPr>
          <w:rStyle w:val="DefTerm"/>
        </w:rPr>
        <w:t>Recommendation Report</w:t>
      </w:r>
      <w:r>
        <w:t>: a report as defined in regulation 4 of the EPC Regulations.</w:t>
      </w:r>
      <w:bookmarkEnd w:id="16"/>
    </w:p>
    <w:p w:rsidR="00242505" w:rsidP="00242505" w:rsidRDefault="00242505">
      <w:pPr>
        <w:pStyle w:val="DefinedTermPara"/>
        <w:rPr>
          <w:rStyle w:val="DefTerm"/>
        </w:rPr>
      </w:pPr>
      <w:bookmarkStart w:name="a291641" w:id="17"/>
      <w:r>
        <w:rPr>
          <w:rStyle w:val="DefTerm"/>
        </w:rPr>
        <w:t>Rent</w:t>
      </w:r>
      <w:r>
        <w:t xml:space="preserve">: </w:t>
      </w:r>
      <w:proofErr w:type="gramStart"/>
      <w:r>
        <w:t>£[</w:t>
      </w:r>
      <w:proofErr w:type="gramEnd"/>
      <w:r>
        <w:t xml:space="preserve">AMOUNT] per [week </w:t>
      </w:r>
      <w:r>
        <w:rPr>
          <w:b/>
        </w:rPr>
        <w:t>OR</w:t>
      </w:r>
      <w:r>
        <w:t xml:space="preserve"> month].</w:t>
      </w:r>
      <w:bookmarkEnd w:id="17"/>
    </w:p>
    <w:p w:rsidR="00242505" w:rsidP="00242505" w:rsidRDefault="00242505">
      <w:pPr>
        <w:pStyle w:val="DefinedTermPara"/>
        <w:rPr>
          <w:rStyle w:val="DefTerm"/>
        </w:rPr>
      </w:pPr>
      <w:bookmarkStart w:name="a644868" w:id="18"/>
      <w:r>
        <w:rPr>
          <w:rStyle w:val="DefTerm"/>
        </w:rPr>
        <w:t>Rent Payment Dates</w:t>
      </w:r>
      <w:r>
        <w:t xml:space="preserve">: the [INSERT AGREED RENT PAYMENT DAY] day of each [week </w:t>
      </w:r>
      <w:r>
        <w:rPr>
          <w:b/>
        </w:rPr>
        <w:t>OR</w:t>
      </w:r>
      <w:r>
        <w:t xml:space="preserve"> month].</w:t>
      </w:r>
      <w:bookmarkEnd w:id="18"/>
    </w:p>
    <w:p w:rsidR="00242505" w:rsidP="00242505" w:rsidRDefault="00242505">
      <w:pPr>
        <w:pStyle w:val="DefinedTermPara"/>
        <w:rPr>
          <w:rStyle w:val="DefTerm"/>
        </w:rPr>
      </w:pPr>
      <w:bookmarkStart w:name="a241734" w:id="19"/>
      <w:r>
        <w:rPr>
          <w:rStyle w:val="DefTerm"/>
        </w:rPr>
        <w:t>Scheme Administrator</w:t>
      </w:r>
      <w:r>
        <w:rPr>
          <w:rStyle w:val="DefTerm"/>
        </w:rPr>
        <w:fldChar w:fldCharType="begin"/>
      </w:r>
      <w:r>
        <w:rPr>
          <w:rStyle w:val="DefTerm"/>
        </w:rPr>
        <w:instrText xml:space="preserve"> MACROBUTTON optional </w:instrText>
      </w:r>
      <w:r>
        <w:rPr>
          <w:rStyle w:val="DefTerm"/>
        </w:rPr>
        <w:fldChar w:fldCharType="end"/>
      </w:r>
      <w:r>
        <w:t>: administrator of either a custodial or insurance TDS.</w:t>
      </w:r>
      <w:bookmarkEnd w:id="19"/>
    </w:p>
    <w:p w:rsidR="00242505" w:rsidP="00242505" w:rsidRDefault="00242505">
      <w:pPr>
        <w:pStyle w:val="DefinedTermPara"/>
        <w:rPr>
          <w:rStyle w:val="DefTerm"/>
        </w:rPr>
      </w:pPr>
      <w:bookmarkStart w:name="a194076" w:id="20"/>
      <w:r>
        <w:rPr>
          <w:rStyle w:val="DefTerm"/>
        </w:rPr>
        <w:t>TDS</w:t>
      </w:r>
      <w:r>
        <w:rPr>
          <w:rStyle w:val="DefTerm"/>
        </w:rPr>
        <w:fldChar w:fldCharType="begin"/>
      </w:r>
      <w:r>
        <w:rPr>
          <w:rStyle w:val="DefTerm"/>
        </w:rPr>
        <w:instrText xml:space="preserve"> MACROBUTTON optional </w:instrText>
      </w:r>
      <w:r>
        <w:rPr>
          <w:rStyle w:val="DefTerm"/>
        </w:rPr>
        <w:fldChar w:fldCharType="end"/>
      </w:r>
      <w:r>
        <w:t>: tenancy deposit scheme, as defined in section 212(2) of the HA 2004.</w:t>
      </w:r>
      <w:bookmarkEnd w:id="20"/>
    </w:p>
    <w:p w:rsidR="00242505" w:rsidP="00242505" w:rsidRDefault="00242505">
      <w:pPr>
        <w:pStyle w:val="DefinedTermPara"/>
        <w:rPr>
          <w:rStyle w:val="DefTerm"/>
        </w:rPr>
      </w:pPr>
      <w:bookmarkStart w:name="a589942" w:id="21"/>
      <w:r>
        <w:rPr>
          <w:rStyle w:val="DefTerm"/>
        </w:rPr>
        <w:t>Tenancy</w:t>
      </w:r>
      <w:r>
        <w:t>: the tenancy created under this agreement and any statutory periodic tenancy arising under section 5(2) of the Housing Act 1988 or any contractual periodic tenancy that arises after the Term has expired.</w:t>
      </w:r>
      <w:bookmarkEnd w:id="21"/>
    </w:p>
    <w:p w:rsidR="00242505" w:rsidP="00242505" w:rsidRDefault="00242505">
      <w:pPr>
        <w:pStyle w:val="DefinedTermPara"/>
        <w:rPr>
          <w:rStyle w:val="DefTerm"/>
        </w:rPr>
      </w:pPr>
      <w:bookmarkStart w:name="a547993" w:id="22"/>
      <w:r>
        <w:rPr>
          <w:rStyle w:val="DefTerm"/>
        </w:rPr>
        <w:t>Term</w:t>
      </w:r>
      <w:r>
        <w:t xml:space="preserve">: a fixed term of [NUMBER] [months </w:t>
      </w:r>
      <w:r>
        <w:rPr>
          <w:b/>
        </w:rPr>
        <w:t>OR</w:t>
      </w:r>
      <w:r>
        <w:t xml:space="preserve"> years] from and including [DATE].</w:t>
      </w:r>
      <w:bookmarkEnd w:id="22"/>
    </w:p>
    <w:p w:rsidR="00242505" w:rsidP="00242505" w:rsidRDefault="00242505">
      <w:pPr>
        <w:pStyle w:val="DefinedTermPara"/>
        <w:rPr>
          <w:rStyle w:val="DefTerm"/>
        </w:rPr>
      </w:pPr>
      <w:bookmarkStart w:name="a873647" w:id="23"/>
      <w:r>
        <w:rPr>
          <w:rStyle w:val="DefTerm"/>
        </w:rPr>
        <w:t>Working Day</w:t>
      </w:r>
      <w:r>
        <w:t>: any day which is not a Saturday, a Sunday, a bank holiday or a public holiday in England.</w:t>
      </w:r>
      <w:bookmarkEnd w:id="23"/>
    </w:p>
    <w:p w:rsidR="00242505" w:rsidP="00242505" w:rsidRDefault="00242505">
      <w:pPr>
        <w:pStyle w:val="Untitledsubclause1"/>
      </w:pPr>
      <w:bookmarkStart w:name="a959689" w:id="24"/>
      <w:r>
        <w:t xml:space="preserve">Clause headings shall not affect the interpretation of this agreement. </w:t>
      </w:r>
      <w:bookmarkEnd w:id="24"/>
    </w:p>
    <w:p w:rsidR="00242505" w:rsidP="00242505" w:rsidRDefault="00242505">
      <w:pPr>
        <w:pStyle w:val="Untitledsubclause1"/>
      </w:pPr>
      <w:bookmarkStart w:name="a483074" w:id="25"/>
      <w:r>
        <w:t xml:space="preserve">A </w:t>
      </w:r>
      <w:r>
        <w:rPr>
          <w:b/>
        </w:rPr>
        <w:t>person</w:t>
      </w:r>
      <w:r>
        <w:t xml:space="preserve"> includes a natural person, corporate or unincorporated body (whether or not having separate legal personality). </w:t>
      </w:r>
      <w:bookmarkEnd w:id="25"/>
    </w:p>
    <w:p w:rsidR="00242505" w:rsidP="00242505" w:rsidRDefault="00242505">
      <w:pPr>
        <w:pStyle w:val="Untitledsubclause1"/>
      </w:pPr>
      <w:bookmarkStart w:name="a429668" w:id="26"/>
      <w:r>
        <w:t>Unless the context otherwise requires, words in the singular shall include the plural and in the plural shall include the singular.</w:t>
      </w:r>
      <w:bookmarkEnd w:id="26"/>
    </w:p>
    <w:p w:rsidR="00242505" w:rsidP="00242505" w:rsidRDefault="00242505">
      <w:pPr>
        <w:pStyle w:val="Untitledsubclause1"/>
      </w:pPr>
      <w:bookmarkStart w:name="a73139" w:id="27"/>
      <w:r>
        <w:t>Unless the context otherwise requires, a reference to one gender shall include a reference to the other genders.</w:t>
      </w:r>
      <w:bookmarkEnd w:id="27"/>
    </w:p>
    <w:p w:rsidR="00242505" w:rsidP="00242505" w:rsidRDefault="00242505">
      <w:pPr>
        <w:pStyle w:val="Untitledsubclause1"/>
      </w:pPr>
      <w:bookmarkStart w:name="a408305" w:id="28"/>
      <w:r>
        <w:t>A reference to legislation or a legislative provision is a reference to it as amended, extended or re-enacted from time to time.</w:t>
      </w:r>
      <w:bookmarkEnd w:id="28"/>
    </w:p>
    <w:p w:rsidR="00242505" w:rsidP="00242505" w:rsidRDefault="00242505">
      <w:pPr>
        <w:pStyle w:val="Untitledsubclause1"/>
      </w:pPr>
      <w:bookmarkStart w:name="a412760" w:id="29"/>
      <w:r>
        <w:t>A reference to legislation or a legislative provision shall include all subordinate legislation made from time to time under that legislation or legislative provision.</w:t>
      </w:r>
      <w:bookmarkEnd w:id="29"/>
    </w:p>
    <w:p w:rsidR="00242505" w:rsidP="00242505" w:rsidRDefault="00242505">
      <w:pPr>
        <w:pStyle w:val="Untitledsubclause1"/>
      </w:pPr>
      <w:bookmarkStart w:name="a127461" w:id="30"/>
      <w:r>
        <w:t>A reference to an agreement is a reference to this agreement.</w:t>
      </w:r>
      <w:bookmarkEnd w:id="30"/>
    </w:p>
    <w:p w:rsidR="00242505" w:rsidP="00242505" w:rsidRDefault="00242505">
      <w:pPr>
        <w:pStyle w:val="Untitledsubclause1"/>
      </w:pPr>
      <w:bookmarkStart w:name="a137227" w:id="31"/>
      <w:r>
        <w:t xml:space="preserve">A reference to </w:t>
      </w:r>
      <w:r>
        <w:rPr>
          <w:b/>
        </w:rPr>
        <w:t>writing</w:t>
      </w:r>
      <w:r>
        <w:t xml:space="preserve"> or </w:t>
      </w:r>
      <w:r>
        <w:rPr>
          <w:b/>
        </w:rPr>
        <w:t>written</w:t>
      </w:r>
      <w:r>
        <w:t xml:space="preserve"> excludes fax but not email.</w:t>
      </w:r>
      <w:bookmarkEnd w:id="31"/>
    </w:p>
    <w:p w:rsidR="00242505" w:rsidP="00242505" w:rsidRDefault="00242505">
      <w:pPr>
        <w:pStyle w:val="Untitledsubclause1"/>
      </w:pPr>
      <w:bookmarkStart w:name="a772673" w:id="32"/>
      <w:r>
        <w:t>Any reference to the giving of consent by the Landlord requires the consent to be given in writing, signed by the Landlord.</w:t>
      </w:r>
      <w:bookmarkEnd w:id="32"/>
    </w:p>
    <w:p w:rsidR="00242505" w:rsidP="00242505" w:rsidRDefault="00242505">
      <w:pPr>
        <w:pStyle w:val="Untitledsubclause1"/>
      </w:pPr>
      <w:bookmarkStart w:name="a216041" w:id="33"/>
      <w:r>
        <w:t>Any obligation on a party not to do something includes an obligation not to allow that thing to be done and an obligation to use best endeavours to prevent that thing being done by another person.</w:t>
      </w:r>
      <w:bookmarkEnd w:id="33"/>
    </w:p>
    <w:p w:rsidR="00242505" w:rsidP="00242505" w:rsidRDefault="00242505">
      <w:pPr>
        <w:pStyle w:val="Untitledsubclause1"/>
      </w:pPr>
      <w:bookmarkStart w:name="a436304" w:id="34"/>
      <w:r>
        <w:t>References to clauses are to the clauses of this agreement.</w:t>
      </w:r>
      <w:bookmarkEnd w:id="34"/>
    </w:p>
    <w:p w:rsidR="00242505" w:rsidP="00242505" w:rsidRDefault="00242505">
      <w:pPr>
        <w:pStyle w:val="Untitledsubclause1"/>
      </w:pPr>
      <w:bookmarkStart w:name="a369451" w:id="35"/>
      <w:r>
        <w:t>A reference to the Landlord includes a reference to the person entitled to the immediate reversion to this Tenancy. A reference to the Tenant includes a reference to its successors in title and assigns.</w:t>
      </w:r>
      <w:bookmarkEnd w:id="35"/>
    </w:p>
    <w:p w:rsidR="00242505" w:rsidP="00242505" w:rsidRDefault="00242505">
      <w:pPr>
        <w:pStyle w:val="Untitledsubclause1"/>
      </w:pPr>
      <w:bookmarkStart w:name="a782062" w:id="36"/>
      <w:r>
        <w:t xml:space="preserve">Unless otherwise expressly provided, the obligations and liabilities of the parties under this agreement are joint and several. This means that where, for example, the Tenant is more than one person, </w:t>
      </w:r>
      <w:proofErr w:type="gramStart"/>
      <w:r>
        <w:t>they</w:t>
      </w:r>
      <w:proofErr w:type="gramEnd"/>
      <w:r>
        <w:t xml:space="preserve"> shall be liable for all sums due under the agreement, not just liable for a proportionate part.</w:t>
      </w:r>
      <w:bookmarkEnd w:id="36"/>
    </w:p>
    <w:p w:rsidR="00242505" w:rsidP="00242505" w:rsidRDefault="00242505">
      <w:pPr>
        <w:pStyle w:val="Untitledsubclause1"/>
      </w:pPr>
      <w:bookmarkStart w:name="a215992" w:id="37"/>
      <w:r>
        <w:t>The obligations of the Tenant arising by virtue of this agreement are owed to the Landlord. The obligations of the Landlord are owed to the Tenant.</w:t>
      </w:r>
      <w:bookmarkEnd w:id="37"/>
    </w:p>
    <w:p w:rsidR="00242505" w:rsidP="00242505" w:rsidRDefault="00242505">
      <w:pPr>
        <w:pStyle w:val="TitleClause"/>
      </w:pPr>
      <w:r>
        <w:fldChar w:fldCharType="begin"/>
      </w:r>
      <w:r>
        <w:instrText>TC "2. Grant of the Tenancy" \l 1</w:instrText>
      </w:r>
      <w:r>
        <w:fldChar w:fldCharType="end"/>
      </w:r>
      <w:bookmarkStart w:name="a613841" w:id="38"/>
      <w:bookmarkStart w:name="_Toc113920808" w:id="39"/>
      <w:r>
        <w:t>Grant of the Tenancy</w:t>
      </w:r>
      <w:bookmarkEnd w:id="38"/>
      <w:bookmarkEnd w:id="39"/>
    </w:p>
    <w:p w:rsidR="00242505" w:rsidP="00242505" w:rsidRDefault="00242505">
      <w:pPr>
        <w:pStyle w:val="Untitledsubclause1"/>
      </w:pPr>
      <w:bookmarkStart w:name="a51776" w:id="40"/>
      <w:r>
        <w:t>The Landlord lets the Property to the Tenant for the Term.</w:t>
      </w:r>
      <w:bookmarkEnd w:id="40"/>
    </w:p>
    <w:p w:rsidR="00242505" w:rsidP="00242505" w:rsidRDefault="00242505">
      <w:pPr>
        <w:pStyle w:val="Untitledsubclause1"/>
      </w:pPr>
      <w:r>
        <w:t>In addition to the Property, the Tenant shall have use of the Common Parts (if any).</w:t>
      </w:r>
    </w:p>
    <w:p w:rsidR="00242505" w:rsidP="00242505" w:rsidRDefault="00242505">
      <w:pPr>
        <w:pStyle w:val="Untitledsubclause1"/>
      </w:pPr>
      <w:bookmarkStart w:name="a369997" w:id="41"/>
      <w:r>
        <w:t xml:space="preserve">This agreement creates an assured </w:t>
      </w:r>
      <w:proofErr w:type="spellStart"/>
      <w:r>
        <w:t>shorthold</w:t>
      </w:r>
      <w:proofErr w:type="spellEnd"/>
      <w:r>
        <w:t xml:space="preserve"> tenancy under Part I of Chapter II of the HA 1988.</w:t>
      </w:r>
      <w:bookmarkEnd w:id="41"/>
    </w:p>
    <w:p w:rsidR="00242505" w:rsidP="00242505" w:rsidRDefault="00242505">
      <w:pPr>
        <w:pStyle w:val="Untitledsubclause1"/>
      </w:pPr>
      <w:r>
        <w:t>The Landlord must provide the Tenant with such information about the Property, the Property's installations and any services provided to the Property as is reasonably necessary to enable the Tenant to comply with the obligations contained in clauses 9 and 10.</w:t>
      </w:r>
    </w:p>
    <w:p w:rsidR="00242505" w:rsidP="00242505" w:rsidRDefault="00242505">
      <w:pPr>
        <w:pStyle w:val="Untitledsubclause1"/>
      </w:pPr>
      <w:r>
        <w:t>The Property [is]</w:t>
      </w:r>
      <w:proofErr w:type="gramStart"/>
      <w:r>
        <w:t>/[</w:t>
      </w:r>
      <w:proofErr w:type="gramEnd"/>
      <w:r>
        <w:t>is not] currently subject to a mortgage.</w:t>
      </w:r>
    </w:p>
    <w:p w:rsidR="00242505" w:rsidP="00242505" w:rsidRDefault="00242505">
      <w:pPr>
        <w:pStyle w:val="TitleClause"/>
      </w:pPr>
      <w:r>
        <w:fldChar w:fldCharType="begin"/>
      </w:r>
      <w:r>
        <w:instrText>TC "3. Contents and keys" \l 1</w:instrText>
      </w:r>
      <w:r>
        <w:fldChar w:fldCharType="end"/>
      </w:r>
      <w:bookmarkStart w:name="a295228" w:id="42"/>
      <w:bookmarkStart w:name="_Toc113920809" w:id="43"/>
      <w:r>
        <w:t>Contents and keys</w:t>
      </w:r>
      <w:bookmarkEnd w:id="42"/>
      <w:bookmarkEnd w:id="43"/>
    </w:p>
    <w:p w:rsidR="00242505" w:rsidP="00242505" w:rsidRDefault="00242505">
      <w:pPr>
        <w:pStyle w:val="Untitledsubclause1"/>
      </w:pPr>
      <w:bookmarkStart w:name="a581032" w:id="44"/>
      <w:r>
        <w:t>The Tenant shall keep the Contents in good and clean condition and shall return the Contents to the Landlord at the end of the Tenancy in the same state (except for fair wear and tear) as detailed on the Inventory and Schedule of Condition and cleaned to a professional standard.</w:t>
      </w:r>
      <w:bookmarkEnd w:id="44"/>
    </w:p>
    <w:p w:rsidR="00242505" w:rsidP="00242505" w:rsidRDefault="00242505">
      <w:pPr>
        <w:pStyle w:val="Untitledsubclause1"/>
      </w:pPr>
      <w:r>
        <w:fldChar w:fldCharType="begin"/>
      </w:r>
      <w:r>
        <w:fldChar w:fldCharType="end"/>
      </w:r>
      <w:bookmarkStart w:name="a865383" w:id="45"/>
      <w:r>
        <w:t>The Landlord and Tenant consent to the use of the Inventory and Schedule of Condition as evidence in any dispute arising in connection with the Deposit if the dispute is referred to an adjudicator according to the TDS in which the Deposit is held.</w:t>
      </w:r>
      <w:bookmarkEnd w:id="45"/>
    </w:p>
    <w:p w:rsidR="00242505" w:rsidP="00242505" w:rsidRDefault="00242505">
      <w:pPr>
        <w:pStyle w:val="Untitledsubclause1"/>
      </w:pPr>
      <w:bookmarkStart w:name="a468318" w:id="46"/>
      <w:r>
        <w:t>The Tenant is responsible for looking after the keys and any security device for the Property during the Tenancy. If the Tenant fails to do so, the Tenant is responsible for the reasonable costs properly incurred as a result</w:t>
      </w:r>
      <w:r w:rsidR="00EB62D3">
        <w:t xml:space="preserve"> of any replacement</w:t>
      </w:r>
      <w:r>
        <w:t>.</w:t>
      </w:r>
      <w:bookmarkEnd w:id="46"/>
    </w:p>
    <w:p w:rsidR="00242505" w:rsidP="00242505" w:rsidRDefault="00242505">
      <w:pPr>
        <w:pStyle w:val="TitleClause"/>
      </w:pPr>
      <w:r>
        <w:fldChar w:fldCharType="begin"/>
      </w:r>
      <w:r>
        <w:instrText>TC "4. Rent" \l 1</w:instrText>
      </w:r>
      <w:r>
        <w:fldChar w:fldCharType="end"/>
      </w:r>
      <w:bookmarkStart w:name="a764102" w:id="47"/>
      <w:bookmarkStart w:name="_Toc113920810" w:id="48"/>
      <w:r>
        <w:t>Rent</w:t>
      </w:r>
      <w:bookmarkEnd w:id="47"/>
      <w:bookmarkEnd w:id="48"/>
    </w:p>
    <w:p w:rsidR="00242505" w:rsidP="00242505" w:rsidRDefault="00242505">
      <w:pPr>
        <w:pStyle w:val="Untitledsubclause1"/>
      </w:pPr>
      <w:bookmarkStart w:name="a1030468" w:id="49"/>
      <w:r>
        <w:t>The Tenant shall pay the Rent in advance on or before the Rent Payment Dates.</w:t>
      </w:r>
      <w:bookmarkEnd w:id="49"/>
    </w:p>
    <w:p w:rsidR="00242505" w:rsidP="00242505" w:rsidRDefault="00242505">
      <w:pPr>
        <w:pStyle w:val="Untitledsubclause1"/>
      </w:pPr>
      <w:bookmarkStart w:name="a764295" w:id="50"/>
      <w:r>
        <w:t>The Tenant shall pay the first instalment of the Rent on or before the First Rent Payment Date.</w:t>
      </w:r>
      <w:bookmarkEnd w:id="50"/>
    </w:p>
    <w:p w:rsidR="00242505" w:rsidP="00242505" w:rsidRDefault="00242505">
      <w:pPr>
        <w:pStyle w:val="Untitledsubclause1"/>
      </w:pPr>
      <w:bookmarkStart w:name="a715148" w:id="51"/>
      <w:r>
        <w:t>The Tenant shall pay interest at the rate of 3% per annum above the Bank of England's base rate on any rent lawfully due that is paid more than 14 days after the date on which it became due. The interest shall be payable from the date the rent should have been paid until the date the rent is actually paid.</w:t>
      </w:r>
      <w:bookmarkEnd w:id="51"/>
    </w:p>
    <w:p w:rsidR="00242505" w:rsidP="00242505" w:rsidRDefault="00242505">
      <w:pPr>
        <w:pStyle w:val="Untitledsubclause1"/>
      </w:pPr>
      <w:bookmarkStart w:name="a559203" w:id="52"/>
      <w:r>
        <w:t>The Tenant shall be in breach of this agreement if the Tenant fails to pay the Rent in accordance with this clause and the Landlord shall be entitled to use the statutory provisions contained in the HA 1988 or any other statutory remedies available to recover possession of the Property.</w:t>
      </w:r>
      <w:bookmarkEnd w:id="52"/>
    </w:p>
    <w:p w:rsidR="00242505" w:rsidP="00242505" w:rsidRDefault="00242505">
      <w:pPr>
        <w:pStyle w:val="Untitledsubclause1"/>
      </w:pPr>
      <w:bookmarkStart w:name="a496402" w:id="53"/>
      <w:r>
        <w:t>If the Property is damaged or destroyed by an Insured Risk so as to be unfit for occupation and use then, unless the damage or destruction was caused by the wilful actions, negligence or default of the Tenant, payment of the Rent shall be suspended from and including the date of damage or destruction until and including the date that the Property is fit for occupation and use.</w:t>
      </w:r>
      <w:bookmarkEnd w:id="53"/>
    </w:p>
    <w:p w:rsidR="007773A3" w:rsidP="00242505" w:rsidRDefault="007773A3">
      <w:pPr>
        <w:pStyle w:val="Untitledsubclause1"/>
      </w:pPr>
      <w:r>
        <w:t>If the Property is not made habitable within one month of such date of damage or destruction by an Insured Risk, either party to this Agreement may terminate this Agreement by giving immediate written notice to the other party.</w:t>
      </w:r>
    </w:p>
    <w:p w:rsidR="00242505" w:rsidP="00242505" w:rsidRDefault="00242505">
      <w:pPr>
        <w:pStyle w:val="TitleClause"/>
      </w:pPr>
      <w:r>
        <w:fldChar w:fldCharType="begin"/>
      </w:r>
      <w:bookmarkStart w:name="_Toc113920811" w:id="54"/>
      <w:r>
        <w:fldChar w:fldCharType="end"/>
      </w:r>
      <w:r>
        <w:fldChar w:fldCharType="begin"/>
      </w:r>
      <w:r>
        <w:instrText>TC "5. Deposit" \l 1</w:instrText>
      </w:r>
      <w:r>
        <w:fldChar w:fldCharType="end"/>
      </w:r>
      <w:bookmarkStart w:name="a277910" w:id="55"/>
      <w:r>
        <w:t>Deposit</w:t>
      </w:r>
      <w:bookmarkEnd w:id="55"/>
      <w:bookmarkEnd w:id="54"/>
    </w:p>
    <w:p w:rsidR="00242505" w:rsidP="00242505" w:rsidRDefault="00242505">
      <w:pPr>
        <w:pStyle w:val="Untitledsubclause1"/>
      </w:pPr>
      <w:bookmarkStart w:name="a305909" w:id="56"/>
      <w:r>
        <w:t>The Landlord acknowledges receipt of the Deposit from the Tenant.</w:t>
      </w:r>
      <w:bookmarkEnd w:id="56"/>
    </w:p>
    <w:p w:rsidR="00242505" w:rsidP="00242505" w:rsidRDefault="00242505">
      <w:pPr>
        <w:pStyle w:val="Untitledsubclause1"/>
      </w:pPr>
      <w:bookmarkStart w:name="a1031328" w:id="57"/>
      <w:r>
        <w:t>At the end of the Tenancy, the Landlord shall be entitled to withhold from the Deposit such proportion of the Deposit as may be reasonably necessary to:</w:t>
      </w:r>
      <w:bookmarkEnd w:id="57"/>
    </w:p>
    <w:p w:rsidR="00242505" w:rsidP="00242505" w:rsidRDefault="00242505">
      <w:pPr>
        <w:pStyle w:val="Untitledsubclause2"/>
      </w:pPr>
      <w:bookmarkStart w:name="a677164" w:id="58"/>
      <w:r>
        <w:t xml:space="preserve">make good any damage or lack of cleanliness to the Property, the Common Parts or the Contents (except for fair wear and tear) caused by the Tenant's breach of its obligations under </w:t>
      </w:r>
      <w:r>
        <w:fldChar w:fldCharType="begin"/>
      </w:r>
      <w:r>
        <w:instrText>PAGEREF a581032\# "'clause '"  \h</w:instrText>
      </w:r>
      <w:r>
        <w:fldChar w:fldCharType="separate"/>
      </w:r>
      <w:r>
        <w:t xml:space="preserve">clause </w:t>
      </w:r>
      <w:r>
        <w:fldChar w:fldCharType="end"/>
      </w:r>
      <w:r>
        <w:fldChar w:fldCharType="begin"/>
      </w:r>
      <w:r>
        <w:rPr>
          <w:highlight w:val="lightGray"/>
        </w:rPr>
        <w:instrText>REF a581032 \h \w</w:instrText>
      </w:r>
      <w:r>
        <w:fldChar w:fldCharType="separate"/>
      </w:r>
      <w:r>
        <w:t>3.1</w:t>
      </w:r>
      <w:r>
        <w:fldChar w:fldCharType="end"/>
      </w:r>
      <w:r>
        <w:t xml:space="preserve"> or </w:t>
      </w:r>
      <w:r>
        <w:fldChar w:fldCharType="begin"/>
      </w:r>
      <w:r>
        <w:instrText>PAGEREF a784186\# "'clause '"  \h</w:instrText>
      </w:r>
      <w:r>
        <w:fldChar w:fldCharType="separate"/>
      </w:r>
      <w:r>
        <w:t xml:space="preserve">clause </w:t>
      </w:r>
      <w:r>
        <w:fldChar w:fldCharType="end"/>
      </w:r>
      <w:r>
        <w:fldChar w:fldCharType="begin"/>
      </w:r>
      <w:r>
        <w:rPr>
          <w:highlight w:val="lightGray"/>
        </w:rPr>
        <w:instrText>REF a784186 \h \w</w:instrText>
      </w:r>
      <w:r>
        <w:fldChar w:fldCharType="separate"/>
      </w:r>
      <w:r>
        <w:t>9.1</w:t>
      </w:r>
      <w:r>
        <w:fldChar w:fldCharType="end"/>
      </w:r>
      <w:r>
        <w:t>; and</w:t>
      </w:r>
      <w:bookmarkEnd w:id="58"/>
    </w:p>
    <w:p w:rsidR="00242505" w:rsidP="00242505" w:rsidRDefault="00242505">
      <w:pPr>
        <w:pStyle w:val="Untitledsubclause2"/>
      </w:pPr>
      <w:bookmarkStart w:name="a486263" w:id="59"/>
      <w:proofErr w:type="gramStart"/>
      <w:r>
        <w:t>pay</w:t>
      </w:r>
      <w:proofErr w:type="gramEnd"/>
      <w:r>
        <w:t xml:space="preserve"> any Rent which remains unpaid.</w:t>
      </w:r>
      <w:bookmarkEnd w:id="59"/>
    </w:p>
    <w:p w:rsidR="00242505" w:rsidP="00242505" w:rsidRDefault="00242505">
      <w:pPr>
        <w:pStyle w:val="TitleClause"/>
      </w:pPr>
      <w:r>
        <w:fldChar w:fldCharType="begin"/>
      </w:r>
      <w:bookmarkStart w:name="_Toc113920812" w:id="60"/>
      <w:r>
        <w:fldChar w:fldCharType="end"/>
      </w:r>
      <w:r>
        <w:fldChar w:fldCharType="begin"/>
      </w:r>
      <w:r>
        <w:instrText>TC "6. TDS arrangements" \l 1</w:instrText>
      </w:r>
      <w:r>
        <w:fldChar w:fldCharType="end"/>
      </w:r>
      <w:bookmarkStart w:name="a478056" w:id="61"/>
      <w:r>
        <w:t>TDS arrangements</w:t>
      </w:r>
      <w:bookmarkEnd w:id="61"/>
      <w:bookmarkEnd w:id="60"/>
    </w:p>
    <w:p w:rsidR="00242505" w:rsidP="00242505" w:rsidRDefault="00242505">
      <w:pPr>
        <w:pStyle w:val="Untitledsubclause1"/>
      </w:pPr>
      <w:bookmarkStart w:name="a201188" w:id="62"/>
      <w:r>
        <w:t>Within 30 days of receiving the Deposit the Landlord shall inform the Tenant of the TDS being used and give details of the TDS as required under the membership rules of the TDS.</w:t>
      </w:r>
      <w:bookmarkEnd w:id="62"/>
    </w:p>
    <w:p w:rsidR="00242505" w:rsidP="00242505" w:rsidRDefault="00242505">
      <w:pPr>
        <w:pStyle w:val="Untitledsubclause1"/>
      </w:pPr>
      <w:bookmarkStart w:name="a157677" w:id="63"/>
      <w:r>
        <w:t>The Landlord shall provide within 30 days of the Deposit being received the information required under section 213(5) of the HA 2004 as set out in the Housing (Tenancy Deposits) (Prescribed Information) Order 2007 (</w:t>
      </w:r>
      <w:r>
        <w:rPr>
          <w:i/>
        </w:rPr>
        <w:t>SI 2007/797</w:t>
      </w:r>
      <w:r>
        <w:t>).</w:t>
      </w:r>
      <w:bookmarkEnd w:id="63"/>
    </w:p>
    <w:p w:rsidR="00242505" w:rsidP="00242505" w:rsidRDefault="00242505">
      <w:pPr>
        <w:pStyle w:val="Untitledsubclause1"/>
      </w:pPr>
      <w:bookmarkStart w:name="a653852" w:id="64"/>
      <w:r>
        <w:t>The Landlord agrees that the Deposit shall be held in accordance with the rules of the TDS.</w:t>
      </w:r>
      <w:bookmarkEnd w:id="64"/>
    </w:p>
    <w:p w:rsidR="00242505" w:rsidP="00242505" w:rsidRDefault="00242505">
      <w:pPr>
        <w:pStyle w:val="Untitledsubclause1"/>
      </w:pPr>
      <w:bookmarkStart w:name="a109958" w:id="65"/>
      <w:r>
        <w:t>The Landlord and Tenant agree that any interest accrued from the Deposit shall be paid to the Tenant.</w:t>
      </w:r>
      <w:bookmarkEnd w:id="65"/>
    </w:p>
    <w:p w:rsidR="00242505" w:rsidP="00242505" w:rsidRDefault="00242505">
      <w:pPr>
        <w:pStyle w:val="Untitledsubclause1"/>
      </w:pPr>
      <w:bookmarkStart w:name="a803602" w:id="66"/>
      <w:r>
        <w:t xml:space="preserve">The Landlord shall inform the Tenant within ten Working Days of the Tenancy ending if the Landlord intends to withhold all or part of the Deposit as detailed in </w:t>
      </w:r>
      <w:r>
        <w:fldChar w:fldCharType="begin"/>
      </w:r>
      <w:r>
        <w:instrText>PAGEREF a277910\# "'clause '"  \h</w:instrText>
      </w:r>
      <w:r>
        <w:fldChar w:fldCharType="separate"/>
      </w:r>
      <w:r>
        <w:t xml:space="preserve">clause </w:t>
      </w:r>
      <w:r>
        <w:fldChar w:fldCharType="end"/>
      </w:r>
      <w:r>
        <w:fldChar w:fldCharType="begin"/>
      </w:r>
      <w:r>
        <w:rPr>
          <w:highlight w:val="lightGray"/>
        </w:rPr>
        <w:instrText>REF a277910 \h \w</w:instrText>
      </w:r>
      <w:r>
        <w:fldChar w:fldCharType="separate"/>
      </w:r>
      <w:r>
        <w:t>5</w:t>
      </w:r>
      <w:r>
        <w:fldChar w:fldCharType="end"/>
      </w:r>
      <w:r>
        <w:t>.</w:t>
      </w:r>
      <w:bookmarkEnd w:id="66"/>
    </w:p>
    <w:p w:rsidR="00242505" w:rsidP="00242505" w:rsidRDefault="00242505">
      <w:pPr>
        <w:pStyle w:val="Untitledsubclause1"/>
      </w:pPr>
      <w:r>
        <w:fldChar w:fldCharType="begin"/>
      </w:r>
      <w:r>
        <w:fldChar w:fldCharType="end"/>
      </w:r>
      <w:bookmarkStart w:name="a262646" w:id="67"/>
      <w:r>
        <w:t>The Landlord shall inform the Scheme Administrator within ten Working Days of the Tenancy ending that the Deposit is to be repaid in the sums agreed between the Landlord and Tenant.</w:t>
      </w:r>
      <w:bookmarkEnd w:id="67"/>
    </w:p>
    <w:p w:rsidR="00242505" w:rsidP="00242505" w:rsidRDefault="00242505">
      <w:pPr>
        <w:pStyle w:val="TitleClause"/>
      </w:pPr>
      <w:r>
        <w:fldChar w:fldCharType="begin"/>
      </w:r>
      <w:r>
        <w:instrText>TC "7. Use of Property" \l 1</w:instrText>
      </w:r>
      <w:r>
        <w:fldChar w:fldCharType="end"/>
      </w:r>
      <w:bookmarkStart w:name="a252618" w:id="68"/>
      <w:bookmarkStart w:name="_Toc113920813" w:id="69"/>
      <w:r>
        <w:t>Use of Property</w:t>
      </w:r>
      <w:bookmarkEnd w:id="68"/>
      <w:bookmarkEnd w:id="69"/>
    </w:p>
    <w:p w:rsidR="00242505" w:rsidP="00242505" w:rsidRDefault="00242505">
      <w:pPr>
        <w:pStyle w:val="Untitledsubclause1"/>
      </w:pPr>
      <w:bookmarkStart w:name="a669569" w:id="70"/>
      <w:r>
        <w:t>The Tenant shall:</w:t>
      </w:r>
      <w:bookmarkEnd w:id="70"/>
    </w:p>
    <w:p w:rsidRPr="00242505" w:rsidR="00242505" w:rsidP="00242505" w:rsidRDefault="00242505">
      <w:pPr>
        <w:pStyle w:val="Untitledsubclause2"/>
      </w:pPr>
      <w:bookmarkStart w:name="a934462" w:id="71"/>
      <w:r>
        <w:t>only use the Property as a private dwelling house for itself and the Lawful Occupiers;</w:t>
      </w:r>
      <w:bookmarkStart w:name="a689814" w:id="72"/>
      <w:bookmarkEnd w:id="71"/>
      <w:r>
        <w:t xml:space="preserve"> </w:t>
      </w:r>
      <w:r w:rsidRPr="00242505">
        <w:t>and</w:t>
      </w:r>
      <w:bookmarkEnd w:id="72"/>
    </w:p>
    <w:p w:rsidR="00242505" w:rsidP="00242505" w:rsidRDefault="00242505">
      <w:pPr>
        <w:pStyle w:val="Untitledsubclause2"/>
      </w:pPr>
      <w:bookmarkStart w:name="a180810" w:id="73"/>
      <w:proofErr w:type="gramStart"/>
      <w:r>
        <w:t>not</w:t>
      </w:r>
      <w:proofErr w:type="gramEnd"/>
      <w:r>
        <w:t xml:space="preserve"> permit anyone else other than the Lawful Occupiers to occupy the Property without the prior written consent of the Landlord (such consent not to be unreasonably withheld or delayed).</w:t>
      </w:r>
      <w:bookmarkEnd w:id="73"/>
    </w:p>
    <w:p w:rsidR="00242505" w:rsidP="00242505" w:rsidRDefault="00242505">
      <w:pPr>
        <w:pStyle w:val="Untitledsubclause1"/>
      </w:pPr>
      <w:bookmarkStart w:name="a639637" w:id="74"/>
      <w:r>
        <w:t>The Tenant shall not use the Property for the purposes of conducting a business.</w:t>
      </w:r>
      <w:bookmarkEnd w:id="74"/>
    </w:p>
    <w:p w:rsidR="00242505" w:rsidP="00242505" w:rsidRDefault="00242505">
      <w:pPr>
        <w:pStyle w:val="Untitledsubclause1"/>
      </w:pPr>
      <w:bookmarkStart w:name="a429850" w:id="75"/>
      <w:r>
        <w:t>The Tenant shall not keep any pets or any other animals on or in the Property without the prior written consent of the Landlord (such consent not to be unreasonably withheld or delayed).</w:t>
      </w:r>
      <w:bookmarkEnd w:id="75"/>
    </w:p>
    <w:p w:rsidR="00242505" w:rsidP="00242505" w:rsidRDefault="00242505">
      <w:pPr>
        <w:pStyle w:val="Untitledsubclause1"/>
      </w:pPr>
      <w:bookmarkStart w:name="a641056" w:id="76"/>
      <w:r>
        <w:t>The Tenant shall not do anything to or on the Property or the Common Parts that:</w:t>
      </w:r>
      <w:bookmarkEnd w:id="76"/>
    </w:p>
    <w:p w:rsidR="00242505" w:rsidP="00242505" w:rsidRDefault="00242505">
      <w:pPr>
        <w:pStyle w:val="Untitledsubclause2"/>
      </w:pPr>
      <w:bookmarkStart w:name="a547044" w:id="77"/>
      <w:r>
        <w:t>may reasonably be considered a nuisance, annoyance or damage to occupiers of neighbouring, adjoining or adjacent property, or the owners or occupiers of them;</w:t>
      </w:r>
      <w:bookmarkEnd w:id="77"/>
    </w:p>
    <w:p w:rsidR="00242505" w:rsidP="00242505" w:rsidRDefault="00242505">
      <w:pPr>
        <w:pStyle w:val="Untitledsubclause2"/>
      </w:pPr>
      <w:bookmarkStart w:name="a473005" w:id="78"/>
      <w:r>
        <w:t>involves using the Property for immoral or illegal purposes; or</w:t>
      </w:r>
      <w:bookmarkEnd w:id="78"/>
    </w:p>
    <w:p w:rsidR="00242505" w:rsidP="00242505" w:rsidRDefault="00242505">
      <w:pPr>
        <w:pStyle w:val="Untitledsubclause2"/>
      </w:pPr>
      <w:bookmarkStart w:name="a536812" w:id="79"/>
      <w:proofErr w:type="gramStart"/>
      <w:r>
        <w:t>has</w:t>
      </w:r>
      <w:proofErr w:type="gramEnd"/>
      <w:r>
        <w:t xml:space="preserve"> the effect of invalidating the insurance that the Landlord has taken out in accordance with </w:t>
      </w:r>
      <w:r>
        <w:fldChar w:fldCharType="begin"/>
      </w:r>
      <w:r>
        <w:instrText>PAGEREF a731435\# "'clause '"  \h</w:instrText>
      </w:r>
      <w:r>
        <w:fldChar w:fldCharType="separate"/>
      </w:r>
      <w:r>
        <w:t xml:space="preserve">clause </w:t>
      </w:r>
      <w:r>
        <w:fldChar w:fldCharType="end"/>
      </w:r>
      <w:r>
        <w:fldChar w:fldCharType="begin"/>
      </w:r>
      <w:r>
        <w:rPr>
          <w:highlight w:val="lightGray"/>
        </w:rPr>
        <w:instrText>REF a731435 \h \w</w:instrText>
      </w:r>
      <w:r>
        <w:fldChar w:fldCharType="separate"/>
      </w:r>
      <w:r w:rsidR="00EB62D3">
        <w:rPr>
          <w:highlight w:val="lightGray"/>
        </w:rPr>
        <w:t>11.2</w:t>
      </w:r>
      <w:r>
        <w:fldChar w:fldCharType="end"/>
      </w:r>
      <w:r>
        <w:t>. The Landlord shall provide the Tenant with a summary of the relevant insurance requirements.</w:t>
      </w:r>
      <w:bookmarkEnd w:id="79"/>
    </w:p>
    <w:p w:rsidR="00242505" w:rsidP="00242505" w:rsidRDefault="00242505">
      <w:pPr>
        <w:pStyle w:val="Untitledsubclause1"/>
      </w:pPr>
      <w:bookmarkStart w:name="a250149" w:id="80"/>
      <w:r>
        <w:t>The Tenant shall send the Landlord a copy of any notice or other communication affecting the Property within seven days of receipt and shall not take any action regarding such notices or communications without the prior consent of the Landlord.</w:t>
      </w:r>
      <w:bookmarkEnd w:id="80"/>
    </w:p>
    <w:p w:rsidR="00242505" w:rsidP="00242505" w:rsidRDefault="00242505">
      <w:pPr>
        <w:pStyle w:val="Untitledsubclause1"/>
      </w:pPr>
      <w:bookmarkStart w:name="a925295" w:id="81"/>
      <w:r>
        <w:t>The Tenant shall not commission an Energy Performance Certificate for the Property without the Landlord's consent (such consent not to be unreasonably withheld or delayed).</w:t>
      </w:r>
      <w:bookmarkEnd w:id="81"/>
    </w:p>
    <w:p w:rsidR="00242505" w:rsidP="00242505" w:rsidRDefault="00242505">
      <w:pPr>
        <w:pStyle w:val="TitleClause"/>
      </w:pPr>
      <w:r>
        <w:fldChar w:fldCharType="begin"/>
      </w:r>
      <w:r>
        <w:instrText>TC "8. Assignment or subletting" \l 1</w:instrText>
      </w:r>
      <w:r>
        <w:fldChar w:fldCharType="end"/>
      </w:r>
      <w:bookmarkStart w:name="a194439" w:id="82"/>
      <w:bookmarkStart w:name="_Toc113920814" w:id="83"/>
      <w:r>
        <w:t>Assignment or subletting</w:t>
      </w:r>
      <w:bookmarkEnd w:id="82"/>
      <w:bookmarkEnd w:id="83"/>
    </w:p>
    <w:p w:rsidR="00242505" w:rsidP="00242505" w:rsidRDefault="00242505">
      <w:pPr>
        <w:pStyle w:val="NoNumUntitledsubclause1"/>
      </w:pPr>
      <w:bookmarkStart w:name="a750357" w:id="84"/>
      <w:r>
        <w:t>The Tenant shall not assign, sublet, part with or share possession of the whole or any part of the Property without the prior written consent of the Landlord (such consent not to be unreasonably withheld or delayed).</w:t>
      </w:r>
      <w:bookmarkEnd w:id="84"/>
    </w:p>
    <w:p w:rsidR="00242505" w:rsidP="00242505" w:rsidRDefault="00242505">
      <w:pPr>
        <w:pStyle w:val="TitleClause"/>
      </w:pPr>
      <w:r>
        <w:fldChar w:fldCharType="begin"/>
      </w:r>
      <w:r>
        <w:instrText>TC "9. Repairs and alterations" \l 1</w:instrText>
      </w:r>
      <w:r>
        <w:fldChar w:fldCharType="end"/>
      </w:r>
      <w:bookmarkStart w:name="a639698" w:id="85"/>
      <w:bookmarkStart w:name="_Toc113920815" w:id="86"/>
      <w:r>
        <w:t>Repairs and alterations</w:t>
      </w:r>
      <w:bookmarkEnd w:id="85"/>
      <w:bookmarkEnd w:id="86"/>
    </w:p>
    <w:p w:rsidR="00242505" w:rsidP="00242505" w:rsidRDefault="00242505">
      <w:pPr>
        <w:pStyle w:val="Untitledsubclause1"/>
      </w:pPr>
      <w:bookmarkStart w:name="a784186" w:id="87"/>
      <w:r>
        <w:t>The Tenant shall keep the interior of the Property clean, tidy and in the same condition as at the start of the Tenancy (except for fair wear and tear) and shall return the Property to the Landlord at the end of the Tenancy cleaned to a professional standard.</w:t>
      </w:r>
      <w:bookmarkEnd w:id="87"/>
    </w:p>
    <w:p w:rsidR="00242505" w:rsidP="00242505" w:rsidRDefault="00242505">
      <w:pPr>
        <w:pStyle w:val="Untitledsubclause1"/>
      </w:pPr>
      <w:bookmarkStart w:name="a982119" w:id="88"/>
      <w:r>
        <w:t>If the Property has a garden, the Tenant shall keep it clean and tidy, and free from rubbish.</w:t>
      </w:r>
      <w:bookmarkEnd w:id="88"/>
    </w:p>
    <w:p w:rsidR="00242505" w:rsidP="00242505" w:rsidRDefault="00242505">
      <w:pPr>
        <w:pStyle w:val="Untitledsubclause1"/>
      </w:pPr>
      <w:bookmarkStart w:name="a574847" w:id="89"/>
      <w:r>
        <w:t>The Tenant shall keep the inside and outside of all windows that the Tenant can reasonably reach clean.</w:t>
      </w:r>
      <w:bookmarkEnd w:id="89"/>
    </w:p>
    <w:p w:rsidR="00242505" w:rsidP="00242505" w:rsidRDefault="00242505">
      <w:pPr>
        <w:pStyle w:val="Untitledsubclause1"/>
      </w:pPr>
      <w:bookmarkStart w:name="a784354" w:id="90"/>
      <w:r>
        <w:t>The Tenant shall promptly replace all broken glass at the Property where the Tenant, or the Tenant's family or visitors cause the breakage.</w:t>
      </w:r>
      <w:bookmarkEnd w:id="90"/>
    </w:p>
    <w:p w:rsidR="00242505" w:rsidP="00242505" w:rsidRDefault="00242505">
      <w:pPr>
        <w:pStyle w:val="Untitledsubclause1"/>
      </w:pPr>
      <w:bookmarkStart w:name="a702245" w:id="91"/>
      <w:r>
        <w:t xml:space="preserve">The Tenant shall not cause any blockage to the drains, gutters and pipes of the Property. This obligation does not require the Tenant to carry out any works or repairs for which the Landlord is liable under </w:t>
      </w:r>
      <w:r>
        <w:fldChar w:fldCharType="begin"/>
      </w:r>
      <w:r>
        <w:instrText>PAGEREF a706586\# "'clause '"  \h</w:instrText>
      </w:r>
      <w:r>
        <w:fldChar w:fldCharType="separate"/>
      </w:r>
      <w:r>
        <w:t xml:space="preserve">clause </w:t>
      </w:r>
      <w:r>
        <w:fldChar w:fldCharType="end"/>
      </w:r>
      <w:r w:rsidR="00EB62D3">
        <w:t>11</w:t>
      </w:r>
      <w:r>
        <w:t>.</w:t>
      </w:r>
      <w:bookmarkEnd w:id="91"/>
    </w:p>
    <w:p w:rsidR="00242505" w:rsidP="00242505" w:rsidRDefault="00242505">
      <w:pPr>
        <w:pStyle w:val="Untitledsubclause1"/>
      </w:pPr>
      <w:bookmarkStart w:name="a641267" w:id="92"/>
      <w:r>
        <w:t>The Tenant shall not make any alteration, addition, or redecorate the Property without the prior consent of the Landlord (such consent not to be unreasonably withheld or delayed).</w:t>
      </w:r>
      <w:bookmarkEnd w:id="92"/>
    </w:p>
    <w:p w:rsidR="00242505" w:rsidP="00242505" w:rsidRDefault="00242505">
      <w:pPr>
        <w:pStyle w:val="TitleClause"/>
      </w:pPr>
      <w:r>
        <w:fldChar w:fldCharType="begin"/>
      </w:r>
      <w:r>
        <w:instrText>TC "10. Utilities and outgoings" \l 1</w:instrText>
      </w:r>
      <w:r>
        <w:fldChar w:fldCharType="end"/>
      </w:r>
      <w:bookmarkStart w:name="a435994" w:id="93"/>
      <w:bookmarkStart w:name="_Toc113920816" w:id="94"/>
      <w:r>
        <w:t>Utilities and outgoings</w:t>
      </w:r>
      <w:bookmarkEnd w:id="93"/>
      <w:bookmarkEnd w:id="94"/>
    </w:p>
    <w:p w:rsidR="00242505" w:rsidP="00242505" w:rsidRDefault="00242505">
      <w:pPr>
        <w:pStyle w:val="Untitledsubclause1"/>
      </w:pPr>
      <w:bookmarkStart w:name="a229690" w:id="95"/>
      <w:r>
        <w:t xml:space="preserve">The Tenant shall pay all charges for gas, electricity, water and sewerage services, telephone, </w:t>
      </w:r>
      <w:r w:rsidR="007773A3">
        <w:t xml:space="preserve">high speed internet, </w:t>
      </w:r>
      <w:r>
        <w:t>cable or satellite television (if the Property has these) used by the Tenant at the Property.</w:t>
      </w:r>
      <w:bookmarkEnd w:id="95"/>
    </w:p>
    <w:p w:rsidR="00242505" w:rsidP="00242505" w:rsidRDefault="00242505">
      <w:pPr>
        <w:pStyle w:val="Untitledsubclause1"/>
      </w:pPr>
      <w:bookmarkStart w:name="a783219" w:id="96"/>
      <w:r>
        <w:t>The Tenant shall comply with all laws and recommendations of the relevant suppliers relating to the use of those services and utilities.</w:t>
      </w:r>
      <w:bookmarkEnd w:id="96"/>
    </w:p>
    <w:p w:rsidR="00242505" w:rsidP="00242505" w:rsidRDefault="00242505">
      <w:pPr>
        <w:pStyle w:val="Untitledsubclause1"/>
      </w:pPr>
      <w:bookmarkStart w:name="a903270" w:id="97"/>
      <w:r>
        <w:t>Where the Tenant allows, either by default of payment or specific instruction, the utility or other services to be cut off, the Tenant shall pay the costs associated with reconnecting or resuming those services.</w:t>
      </w:r>
      <w:bookmarkEnd w:id="97"/>
    </w:p>
    <w:p w:rsidR="00242505" w:rsidP="00242505" w:rsidRDefault="00242505">
      <w:pPr>
        <w:pStyle w:val="Untitledsubclause1"/>
      </w:pPr>
      <w:bookmarkStart w:name="a703089" w:id="98"/>
      <w:r>
        <w:t>The Tenant shall pay for a television licence for the Property if a licence is required.</w:t>
      </w:r>
      <w:bookmarkEnd w:id="98"/>
    </w:p>
    <w:p w:rsidR="00242505" w:rsidP="00242505" w:rsidRDefault="00242505">
      <w:pPr>
        <w:pStyle w:val="Untitledsubclause1"/>
      </w:pPr>
      <w:bookmarkStart w:name="a519451" w:id="99"/>
      <w:r>
        <w:t>The Tenant shall pay to the relevant local authority the Council tax for the Property.</w:t>
      </w:r>
      <w:bookmarkEnd w:id="99"/>
    </w:p>
    <w:p w:rsidR="00242505" w:rsidP="00242505" w:rsidRDefault="00242505">
      <w:pPr>
        <w:pStyle w:val="Untitledsubclause1"/>
      </w:pPr>
      <w:bookmarkStart w:name="a439442" w:id="100"/>
      <w:r>
        <w:t>If any of the costs in this clause are payable in relation to the Property together with other property, the Tenant shall pay a fair proportion of all those costs.</w:t>
      </w:r>
      <w:bookmarkEnd w:id="100"/>
    </w:p>
    <w:p w:rsidR="007773A3" w:rsidP="00242505" w:rsidRDefault="007773A3">
      <w:pPr>
        <w:pStyle w:val="Untitledsubclause1"/>
      </w:pPr>
      <w:r>
        <w:t>The Landlord confirms that the Property currently enjoys a broadband and a telephone connection and shall not unreasonably object to the Tenant seeking an upgrade of such connections.</w:t>
      </w:r>
    </w:p>
    <w:p w:rsidR="00242505" w:rsidP="00242505" w:rsidRDefault="00242505">
      <w:pPr>
        <w:pStyle w:val="TitleClause"/>
      </w:pPr>
      <w:r>
        <w:fldChar w:fldCharType="begin"/>
      </w:r>
      <w:r>
        <w:instrText>TC "11. Landlord's covenants" \l 1</w:instrText>
      </w:r>
      <w:r>
        <w:fldChar w:fldCharType="end"/>
      </w:r>
      <w:bookmarkStart w:name="a574388" w:id="101"/>
      <w:bookmarkStart w:name="_Toc113920817" w:id="102"/>
      <w:r>
        <w:t>Landlord's covenants</w:t>
      </w:r>
      <w:bookmarkEnd w:id="101"/>
      <w:bookmarkEnd w:id="102"/>
    </w:p>
    <w:p w:rsidR="00242505" w:rsidP="00242505" w:rsidRDefault="00242505">
      <w:pPr>
        <w:pStyle w:val="Untitledsubclause1"/>
      </w:pPr>
      <w:bookmarkStart w:name="a745453" w:id="103"/>
      <w:r>
        <w:t>The Landlord shall provide the Tenant with suitable means of access to and egress from the Property.</w:t>
      </w:r>
      <w:bookmarkEnd w:id="103"/>
    </w:p>
    <w:p w:rsidR="00242505" w:rsidP="00242505" w:rsidRDefault="00242505">
      <w:pPr>
        <w:pStyle w:val="Untitledsubclause1"/>
      </w:pPr>
      <w:bookmarkStart w:name="a731435" w:id="104"/>
      <w:r>
        <w:t>The Landlord shall insure the Property and Contents to their full value against loss or damage by the Insured Risks and shall provide a copy of the insurance cover to the Tenant if requested. The Landlord's insurance does not cover the Tenant's possessions. The Tenant is advised to insure the Tenant's own possessions with a reputable insurer.</w:t>
      </w:r>
      <w:bookmarkEnd w:id="104"/>
    </w:p>
    <w:p w:rsidR="00242505" w:rsidP="00242505" w:rsidRDefault="00242505">
      <w:pPr>
        <w:pStyle w:val="Untitledsubclause1"/>
      </w:pPr>
      <w:bookmarkStart w:name="a663244" w:id="105"/>
      <w:r>
        <w:t>The Landlord shall make good any damage caused by an Insured Risk, unless the damage was caused by the wilful actions, negligence or default of the Tenant.</w:t>
      </w:r>
      <w:bookmarkEnd w:id="105"/>
    </w:p>
    <w:p w:rsidR="007773A3" w:rsidP="00242505" w:rsidRDefault="007773A3">
      <w:pPr>
        <w:pStyle w:val="Untitledsubclause1"/>
      </w:pPr>
      <w:r>
        <w:t>The Landlord shall ensure that the Property has been cleaned to a professional standard prior to the start of the Term.</w:t>
      </w:r>
    </w:p>
    <w:p w:rsidR="00242505" w:rsidP="00242505" w:rsidRDefault="00242505">
      <w:pPr>
        <w:pStyle w:val="Untitledsubclause1"/>
      </w:pPr>
      <w:bookmarkStart w:name="a675856" w:id="106"/>
      <w:r>
        <w:t>The Landlord shall allow the Tenant quiet enjoyment of the Property without any interruption by the Landlord.</w:t>
      </w:r>
      <w:bookmarkEnd w:id="106"/>
    </w:p>
    <w:p w:rsidR="007773A3" w:rsidP="00242505" w:rsidRDefault="007773A3">
      <w:pPr>
        <w:pStyle w:val="Untitledsubclause1"/>
      </w:pPr>
      <w:r>
        <w:t>The Landlord shall ensure that:</w:t>
      </w:r>
    </w:p>
    <w:p w:rsidR="007773A3" w:rsidP="007773A3" w:rsidRDefault="007773A3">
      <w:pPr>
        <w:pStyle w:val="Untitledsubclause2"/>
      </w:pPr>
      <w:r>
        <w:t>the furniture and equipment within the Property comply with the Furniture and Furnishings (Fire)(Safety) Regulations 1988 as amended in 1993;</w:t>
      </w:r>
      <w:r w:rsidRPr="007773A3">
        <w:t xml:space="preserve"> </w:t>
      </w:r>
    </w:p>
    <w:p w:rsidR="007773A3" w:rsidP="007773A3" w:rsidRDefault="007773A3">
      <w:pPr>
        <w:pStyle w:val="Untitledsubclause2"/>
      </w:pPr>
      <w:r>
        <w:t>any and all gas appliances at the Property comply with the Gas Safety (Installation and Use) Regulations 1998 and that a copy of the Safety Check Certificate will be given to the Tenant when signing this Agreement;</w:t>
      </w:r>
    </w:p>
    <w:p w:rsidR="007773A3" w:rsidP="007773A3" w:rsidRDefault="007773A3">
      <w:pPr>
        <w:pStyle w:val="Untitledsubclause2"/>
      </w:pPr>
      <w:r>
        <w:t>any and all electrical appliances at the Property comply with the Electrical Equipment (Safety) Regulations 1994 and that a copy of the Safety Check Certificate will be given to the Tenant when signing this Agreement;</w:t>
      </w:r>
    </w:p>
    <w:p w:rsidR="007773A3" w:rsidP="007773A3" w:rsidRDefault="007773A3">
      <w:pPr>
        <w:pStyle w:val="Untitledsubclause2"/>
      </w:pPr>
      <w:r>
        <w:t>the Property is compliant with the Smoke and Carbon Monoxide Alarm (England) Regulations 2015 at the start of the Term; and</w:t>
      </w:r>
    </w:p>
    <w:p w:rsidRPr="007773A3" w:rsidR="007773A3" w:rsidP="007773A3" w:rsidRDefault="007773A3">
      <w:pPr>
        <w:pStyle w:val="Untitledsubclause2"/>
      </w:pPr>
      <w:proofErr w:type="gramStart"/>
      <w:r>
        <w:t>the</w:t>
      </w:r>
      <w:proofErr w:type="gramEnd"/>
      <w:r>
        <w:t xml:space="preserve"> Landlord undertakes a Legionella risk assessment at the start of, and throughout the tenancy and, if necessary, make any required changes to the water system of the Property. </w:t>
      </w:r>
    </w:p>
    <w:p w:rsidR="00242505" w:rsidP="00242505" w:rsidRDefault="00242505">
      <w:pPr>
        <w:pStyle w:val="Untitledsubclause1"/>
      </w:pPr>
      <w:bookmarkStart w:name="a706586" w:id="107"/>
      <w:r>
        <w:t>In accordance with section 11 of the LTA 1985, the Landlord shall:</w:t>
      </w:r>
      <w:bookmarkEnd w:id="107"/>
    </w:p>
    <w:p w:rsidR="00242505" w:rsidP="00242505" w:rsidRDefault="00242505">
      <w:pPr>
        <w:pStyle w:val="Untitledsubclause2"/>
      </w:pPr>
      <w:bookmarkStart w:name="a996178" w:id="108"/>
      <w:r>
        <w:t>keep in repair the structure and exterior of the Property (including drains, external pipes, gutters and external windows);</w:t>
      </w:r>
      <w:bookmarkEnd w:id="108"/>
    </w:p>
    <w:p w:rsidR="00242505" w:rsidP="00242505" w:rsidRDefault="00242505">
      <w:pPr>
        <w:pStyle w:val="Untitledsubclause2"/>
      </w:pPr>
      <w:bookmarkStart w:name="a924705" w:id="109"/>
      <w:r>
        <w:t>keep in repair and proper working order the installations in the Property for the supply of water, gas and electricity and for sanitation (including basins, sinks, baths and sanitary conveniences, but not other fixtures, fittings and appliances for making use of the supply of water, gas or electricity); and</w:t>
      </w:r>
      <w:bookmarkEnd w:id="109"/>
    </w:p>
    <w:p w:rsidR="00242505" w:rsidP="00242505" w:rsidRDefault="00242505">
      <w:pPr>
        <w:pStyle w:val="Untitledsubclause2"/>
      </w:pPr>
      <w:bookmarkStart w:name="a831004" w:id="110"/>
      <w:proofErr w:type="gramStart"/>
      <w:r>
        <w:t>keep</w:t>
      </w:r>
      <w:proofErr w:type="gramEnd"/>
      <w:r>
        <w:t xml:space="preserve"> in repair and proper working order the installations in the Property for space heating and heating water.</w:t>
      </w:r>
      <w:bookmarkEnd w:id="110"/>
    </w:p>
    <w:p w:rsidRPr="007773A3" w:rsidR="007773A3" w:rsidP="007773A3" w:rsidRDefault="007773A3">
      <w:pPr>
        <w:pStyle w:val="Untitledsubclause1"/>
      </w:pPr>
      <w:r>
        <w:t>The Landlord shall take all reasonable steps to ensure that the Pr</w:t>
      </w:r>
      <w:r w:rsidR="00EB62D3">
        <w:t>operty</w:t>
      </w:r>
      <w:r>
        <w:t xml:space="preserve"> shall comply with the Homes (Fitness for Human Habitation) Act 2018.</w:t>
      </w:r>
    </w:p>
    <w:p w:rsidR="00242505" w:rsidP="00242505" w:rsidRDefault="00242505">
      <w:pPr>
        <w:pStyle w:val="Untitledsubclause1"/>
      </w:pPr>
      <w:bookmarkStart w:name="a955190" w:id="111"/>
      <w:r>
        <w:t xml:space="preserve">The Landlord shall not be required to: </w:t>
      </w:r>
      <w:bookmarkEnd w:id="111"/>
    </w:p>
    <w:p w:rsidR="00242505" w:rsidP="00242505" w:rsidRDefault="00242505">
      <w:pPr>
        <w:pStyle w:val="Untitledsubclause2"/>
      </w:pPr>
      <w:bookmarkStart w:name="a787672" w:id="112"/>
      <w:r>
        <w:t xml:space="preserve"> carry out any works or repairs for which the Tenant is liable by virtue of this agreement; or</w:t>
      </w:r>
      <w:bookmarkEnd w:id="112"/>
    </w:p>
    <w:p w:rsidR="00242505" w:rsidP="00242505" w:rsidRDefault="00242505">
      <w:pPr>
        <w:pStyle w:val="Untitledsubclause2"/>
      </w:pPr>
      <w:bookmarkStart w:name="a802654" w:id="113"/>
      <w:r>
        <w:t xml:space="preserve"> </w:t>
      </w:r>
      <w:proofErr w:type="gramStart"/>
      <w:r>
        <w:t>keep</w:t>
      </w:r>
      <w:proofErr w:type="gramEnd"/>
      <w:r>
        <w:t xml:space="preserve"> in repair or maintain anything which the Tenant is entitled to remove from the Property.</w:t>
      </w:r>
      <w:bookmarkEnd w:id="113"/>
    </w:p>
    <w:p w:rsidR="00242505" w:rsidP="00242505" w:rsidRDefault="00242505">
      <w:pPr>
        <w:pStyle w:val="Untitledsubclause1"/>
      </w:pPr>
      <w:r>
        <w:t>The Landlord shall keep the Common Parts (if any) in repair.</w:t>
      </w:r>
    </w:p>
    <w:p w:rsidR="007773A3" w:rsidP="00242505" w:rsidRDefault="007773A3">
      <w:pPr>
        <w:pStyle w:val="Untitledsubclause1"/>
      </w:pPr>
      <w:r>
        <w:t>The Landlord shall maintain such smoke etc. alarm systems.</w:t>
      </w:r>
    </w:p>
    <w:p w:rsidR="00242505" w:rsidP="00242505" w:rsidRDefault="00242505">
      <w:pPr>
        <w:pStyle w:val="Untitledsubclause1"/>
      </w:pPr>
      <w:r>
        <w:fldChar w:fldCharType="begin"/>
      </w:r>
      <w:r>
        <w:fldChar w:fldCharType="end"/>
      </w:r>
      <w:bookmarkStart w:name="a209797" w:id="114"/>
      <w:r>
        <w:t>The Landlord shall keep in repair the cooker, washing machine, tumble dryer, fridge, freezer and dishwasher (if these appliances are at the Property and provided by the Landlord).</w:t>
      </w:r>
      <w:bookmarkEnd w:id="114"/>
    </w:p>
    <w:p w:rsidR="00242505" w:rsidP="00242505" w:rsidRDefault="00242505">
      <w:pPr>
        <w:pStyle w:val="TitleClause"/>
      </w:pPr>
      <w:r>
        <w:fldChar w:fldCharType="begin"/>
      </w:r>
      <w:r>
        <w:instrText>TC "12. Default by the Tenant" \l 1</w:instrText>
      </w:r>
      <w:r>
        <w:fldChar w:fldCharType="end"/>
      </w:r>
      <w:bookmarkStart w:name="a794075" w:id="115"/>
      <w:bookmarkStart w:name="_Toc113920818" w:id="116"/>
      <w:r>
        <w:t>Default by the Tenant</w:t>
      </w:r>
      <w:bookmarkEnd w:id="115"/>
      <w:bookmarkEnd w:id="116"/>
    </w:p>
    <w:p w:rsidR="00242505" w:rsidP="00242505" w:rsidRDefault="00242505">
      <w:pPr>
        <w:pStyle w:val="Untitledsubclause1"/>
      </w:pPr>
      <w:bookmarkStart w:name="a811624" w:id="117"/>
      <w:r>
        <w:t>The Landlord reserves the right to re-enter the Property if:</w:t>
      </w:r>
      <w:bookmarkEnd w:id="117"/>
    </w:p>
    <w:p w:rsidR="00242505" w:rsidP="00242505" w:rsidRDefault="00242505">
      <w:pPr>
        <w:pStyle w:val="Untitledsubclause2"/>
      </w:pPr>
      <w:bookmarkStart w:name="a648863" w:id="118"/>
      <w:r>
        <w:t>the Rent is unpaid 21 days after becoming payable whether it has been formally demanded or not;</w:t>
      </w:r>
      <w:bookmarkEnd w:id="118"/>
    </w:p>
    <w:p w:rsidR="00242505" w:rsidP="00242505" w:rsidRDefault="00242505">
      <w:pPr>
        <w:pStyle w:val="Untitledsubclause2"/>
      </w:pPr>
      <w:bookmarkStart w:name="a119631" w:id="119"/>
      <w:r>
        <w:t xml:space="preserve">the Tenant is declared bankrupt under the Insolvency Act 1986; </w:t>
      </w:r>
      <w:bookmarkEnd w:id="119"/>
    </w:p>
    <w:p w:rsidR="00242505" w:rsidP="00242505" w:rsidRDefault="00242505">
      <w:pPr>
        <w:pStyle w:val="Untitledsubclause2"/>
      </w:pPr>
      <w:bookmarkStart w:name="a861401" w:id="120"/>
      <w:r>
        <w:t>the Tenant has breached the agreement; or</w:t>
      </w:r>
      <w:bookmarkEnd w:id="120"/>
    </w:p>
    <w:p w:rsidR="00242505" w:rsidP="00242505" w:rsidRDefault="00242505">
      <w:pPr>
        <w:pStyle w:val="Untitledsubclause2"/>
      </w:pPr>
      <w:bookmarkStart w:name="a786180" w:id="121"/>
      <w:proofErr w:type="gramStart"/>
      <w:r>
        <w:t>any</w:t>
      </w:r>
      <w:proofErr w:type="gramEnd"/>
      <w:r>
        <w:t xml:space="preserve"> of the Grounds 2, 7 (in England only), 7A, 7B (in England only), 8, 10-15 and 17 set out in Schedule 2 of the HA 1988 apply.</w:t>
      </w:r>
      <w:bookmarkEnd w:id="121"/>
    </w:p>
    <w:p w:rsidR="00242505" w:rsidP="00242505" w:rsidRDefault="00242505">
      <w:pPr>
        <w:pStyle w:val="Parasubclause2"/>
      </w:pPr>
      <w:r>
        <w:t xml:space="preserve">This </w:t>
      </w:r>
      <w:r>
        <w:fldChar w:fldCharType="begin"/>
      </w:r>
      <w:r>
        <w:instrText>PAGEREF a811624\# "'clause '"  \h</w:instrText>
      </w:r>
      <w:r>
        <w:fldChar w:fldCharType="separate"/>
      </w:r>
      <w:r>
        <w:t xml:space="preserve">clause </w:t>
      </w:r>
      <w:r>
        <w:fldChar w:fldCharType="end"/>
      </w:r>
      <w:r>
        <w:fldChar w:fldCharType="begin"/>
      </w:r>
      <w:r>
        <w:rPr>
          <w:highlight w:val="lightGray"/>
        </w:rPr>
        <w:instrText>REF a811624 \h \w</w:instrText>
      </w:r>
      <w:r>
        <w:fldChar w:fldCharType="separate"/>
      </w:r>
      <w:r>
        <w:t>12.1</w:t>
      </w:r>
      <w:r>
        <w:fldChar w:fldCharType="end"/>
      </w:r>
      <w:r>
        <w:t xml:space="preserve"> does not affect any rights of the Tenant under the Protection from Eviction Act 1977. The Landlord cannot evict the Tenant without a court having first made an order for possession.</w:t>
      </w:r>
    </w:p>
    <w:p w:rsidR="00242505" w:rsidP="00242505" w:rsidRDefault="00242505">
      <w:pPr>
        <w:pStyle w:val="Untitledsubclause1"/>
      </w:pPr>
      <w:bookmarkStart w:name="a915836" w:id="122"/>
      <w:r>
        <w:t>If the Landlord re-enters the Property pursuant to this clause, then the Tenancy shall immediately end. Any right or remedy of the Landlord in respect of any breach of the terms of this agreement by the Tenant shall remain in force.</w:t>
      </w:r>
      <w:bookmarkEnd w:id="122"/>
    </w:p>
    <w:p w:rsidRPr="00242505" w:rsidR="00242505" w:rsidP="00242505" w:rsidRDefault="00242505">
      <w:pPr>
        <w:pStyle w:val="Untitledsubclause1"/>
      </w:pPr>
      <w:bookmarkStart w:name="a991436" w:id="123"/>
      <w:r>
        <w:t>If the Tenant breaches this agreement or fails to fulfil any of its obligations under this agreement, the Tenant shall pay any reasonable costs properly incurred by the Landlord in remedying such breaches or in connection with the enforcement of those obligations.</w:t>
      </w:r>
      <w:bookmarkEnd w:id="123"/>
    </w:p>
    <w:p w:rsidR="00242505" w:rsidP="00242505" w:rsidRDefault="00242505">
      <w:pPr>
        <w:pStyle w:val="TitleClause"/>
      </w:pPr>
      <w:r>
        <w:fldChar w:fldCharType="begin"/>
      </w:r>
      <w:r>
        <w:instrText>TC "13. Landlord's right to enter the Property and to display signs" \l 1</w:instrText>
      </w:r>
      <w:r>
        <w:fldChar w:fldCharType="end"/>
      </w:r>
      <w:bookmarkStart w:name="a931557" w:id="124"/>
      <w:bookmarkStart w:name="_Toc113920819" w:id="125"/>
      <w:r>
        <w:t>Landlord's right to enter the Property and to display signs</w:t>
      </w:r>
      <w:bookmarkEnd w:id="124"/>
      <w:bookmarkEnd w:id="125"/>
    </w:p>
    <w:p w:rsidR="00242505" w:rsidP="00242505" w:rsidRDefault="00242505">
      <w:pPr>
        <w:pStyle w:val="Untitledsubclause1"/>
      </w:pPr>
      <w:bookmarkStart w:name="a706065" w:id="126"/>
      <w:r>
        <w:t>The Landlord reserves the right for the Landlord, or any person acting on behalf of the Landlord, to enter the Property on giving at least 72 hours' prior notice in writing to the Tenant, except where immediate emergency access is required:</w:t>
      </w:r>
      <w:bookmarkEnd w:id="126"/>
    </w:p>
    <w:p w:rsidR="00242505" w:rsidP="00242505" w:rsidRDefault="00242505">
      <w:pPr>
        <w:pStyle w:val="Untitledsubclause2"/>
      </w:pPr>
      <w:bookmarkStart w:name="a716560" w:id="127"/>
      <w:r>
        <w:t>to inspect the condition and state of repair of the Property;</w:t>
      </w:r>
      <w:bookmarkEnd w:id="127"/>
    </w:p>
    <w:p w:rsidRPr="00242505" w:rsidR="00242505" w:rsidP="00242505" w:rsidRDefault="00242505">
      <w:pPr>
        <w:pStyle w:val="Untitledsubclause2"/>
      </w:pPr>
      <w:bookmarkStart w:name="a402634" w:id="128"/>
      <w:r>
        <w:t>to carry out the Landlord's obligations under this agreement;</w:t>
      </w:r>
      <w:bookmarkEnd w:id="128"/>
    </w:p>
    <w:p w:rsidRPr="00164CDC" w:rsidR="00242505" w:rsidP="00242505" w:rsidRDefault="00242505">
      <w:pPr>
        <w:pStyle w:val="Untitledsubclause2"/>
      </w:pPr>
      <w:bookmarkStart w:name="a353808" w:id="129"/>
      <w:r>
        <w:t>to take gas, electricity or water meter readings;</w:t>
      </w:r>
      <w:bookmarkEnd w:id="129"/>
    </w:p>
    <w:p w:rsidR="00242505" w:rsidP="00242505" w:rsidRDefault="00242505">
      <w:pPr>
        <w:pStyle w:val="Untitledsubclause2"/>
      </w:pPr>
      <w:bookmarkStart w:name="a648320" w:id="130"/>
      <w:r>
        <w:t>to inspect the Property for the purpose of preparing an EPC and Recommendation Report for the Property or the building of which it forms part and the Tenant shall co-operate with the Landlord so far as is reasonably necessary to enable an EPC and Recommendation Report to be obtained;</w:t>
      </w:r>
      <w:bookmarkEnd w:id="130"/>
    </w:p>
    <w:p w:rsidR="00242505" w:rsidP="00242505" w:rsidRDefault="00242505">
      <w:pPr>
        <w:pStyle w:val="Untitledsubclause2"/>
      </w:pPr>
      <w:bookmarkStart w:name="a673422" w:id="131"/>
      <w:r>
        <w:t>for any purpose mentioned in this Tenancy or connected with the Landlord’s interest in the Property or any other property; and</w:t>
      </w:r>
      <w:bookmarkEnd w:id="131"/>
    </w:p>
    <w:p w:rsidR="00242505" w:rsidP="00242505" w:rsidRDefault="00242505">
      <w:pPr>
        <w:pStyle w:val="Untitledsubclause2"/>
      </w:pPr>
      <w:bookmarkStart w:name="a275893" w:id="132"/>
      <w:proofErr w:type="gramStart"/>
      <w:r>
        <w:t>to</w:t>
      </w:r>
      <w:proofErr w:type="gramEnd"/>
      <w:r>
        <w:t xml:space="preserve"> show prospective tenants or purchasers around the Property.</w:t>
      </w:r>
      <w:bookmarkEnd w:id="132"/>
    </w:p>
    <w:p w:rsidR="00242505" w:rsidP="00242505" w:rsidRDefault="00242505">
      <w:pPr>
        <w:pStyle w:val="Untitledsubclause1"/>
      </w:pPr>
      <w:bookmarkStart w:name="a909012" w:id="133"/>
      <w:r>
        <w:t>The Landlord has the right to retain a set of keys to the Property which shall only be used with the prior</w:t>
      </w:r>
      <w:r w:rsidR="00EB62D3">
        <w:t xml:space="preserve"> written</w:t>
      </w:r>
      <w:r>
        <w:t xml:space="preserve"> consent of the Tenant (except in an emergency).</w:t>
      </w:r>
      <w:bookmarkEnd w:id="133"/>
    </w:p>
    <w:p w:rsidR="00242505" w:rsidP="00242505" w:rsidRDefault="00242505">
      <w:pPr>
        <w:pStyle w:val="Untitledsubclause1"/>
      </w:pPr>
      <w:bookmarkStart w:name="a185955" w:id="134"/>
      <w:r>
        <w:t>The Landlord reserves the right to display a "for sale" or "to let" sign on the Property in the last t</w:t>
      </w:r>
      <w:bookmarkStart w:name="_GoBack" w:id="135"/>
      <w:r>
        <w:t>wo</w:t>
      </w:r>
      <w:bookmarkEnd w:id="135"/>
      <w:r>
        <w:t xml:space="preserve"> months of the Tenancy.</w:t>
      </w:r>
      <w:bookmarkEnd w:id="134"/>
    </w:p>
    <w:p w:rsidR="00242505" w:rsidP="00242505" w:rsidRDefault="00242505">
      <w:pPr>
        <w:pStyle w:val="TitleClause"/>
      </w:pPr>
      <w:r>
        <w:fldChar w:fldCharType="begin"/>
      </w:r>
      <w:r>
        <w:instrText>TC "15. Expiry of the Tenancy" \l 1</w:instrText>
      </w:r>
      <w:r>
        <w:fldChar w:fldCharType="end"/>
      </w:r>
      <w:bookmarkStart w:name="a707826" w:id="136"/>
      <w:bookmarkStart w:name="_Toc113920820" w:id="137"/>
      <w:r>
        <w:t>Expiry of the Tenancy</w:t>
      </w:r>
      <w:bookmarkEnd w:id="136"/>
      <w:bookmarkEnd w:id="137"/>
    </w:p>
    <w:p w:rsidR="00242505" w:rsidP="00242505" w:rsidRDefault="00242505">
      <w:pPr>
        <w:pStyle w:val="Untitledsubclause1"/>
      </w:pPr>
      <w:bookmarkStart w:name="a419811" w:id="138"/>
      <w:r>
        <w:t>At the end of this Tenancy (howsoever determined), the Tenant shall return the Property and the Contents to the Landlord in the condition required by this agreement.</w:t>
      </w:r>
      <w:bookmarkEnd w:id="138"/>
    </w:p>
    <w:p w:rsidR="007773A3" w:rsidP="00C84829" w:rsidRDefault="007773A3">
      <w:pPr>
        <w:pStyle w:val="Untitledsubclause1"/>
      </w:pPr>
      <w:bookmarkStart w:name="a124332" w:id="139"/>
      <w:r>
        <w:t>If the Landlord allows the Tenant to remain in the Property after the Term has expired and no further tenancy has been agreed between the parties, then from the expiry of the fixed Term, the Tenant shall occupy the Property under a statutory periodic tenancy in accordance with section 5(2) of the Housing Act 1988.</w:t>
      </w:r>
      <w:bookmarkEnd w:id="139"/>
    </w:p>
    <w:p w:rsidR="00242505" w:rsidP="00242505" w:rsidRDefault="00242505">
      <w:pPr>
        <w:pStyle w:val="Untitledsubclause1"/>
      </w:pPr>
      <w:bookmarkStart w:name="a684418" w:id="140"/>
      <w:r>
        <w:t>The Tenant shall provide the Landlord (or its legal advisers or agents) with a forwarding address once the Tenancy has come to an end.</w:t>
      </w:r>
      <w:bookmarkEnd w:id="140"/>
    </w:p>
    <w:p w:rsidR="00242505" w:rsidP="00242505" w:rsidRDefault="00242505">
      <w:pPr>
        <w:pStyle w:val="Untitledsubclause1"/>
      </w:pPr>
      <w:bookmarkStart w:name="a810842" w:id="141"/>
      <w:r>
        <w:t>The Tenant shall remove all personal possessions from the Property once the Tenancy has ended. If any of the Tenant's personal possessions are left at the Property after the Tenancy has ended, the Landlord shall remove and store the possessions for a maximum of one month. The Landlord shall take reasonable steps to notify the Tenant at the last known address. If the items are not collected within one month, the Landlord may dispose of the items.</w:t>
      </w:r>
      <w:bookmarkEnd w:id="141"/>
    </w:p>
    <w:p w:rsidR="00242505" w:rsidP="00242505" w:rsidRDefault="00242505">
      <w:pPr>
        <w:pStyle w:val="Untitledsubclause1"/>
      </w:pPr>
      <w:bookmarkStart w:name="a130009" w:id="142"/>
      <w:r>
        <w:t>At the end of the Tenancy, the Tenant must give vacant possession and return the keys to the Property, and any other security devices, to the Landlord.</w:t>
      </w:r>
      <w:bookmarkEnd w:id="142"/>
    </w:p>
    <w:p w:rsidR="00242505" w:rsidP="00242505" w:rsidRDefault="00242505">
      <w:pPr>
        <w:pStyle w:val="TitleClause"/>
      </w:pPr>
      <w:r>
        <w:fldChar w:fldCharType="begin"/>
      </w:r>
      <w:r>
        <w:instrText>TC "16. Notices" \l 1</w:instrText>
      </w:r>
      <w:r>
        <w:fldChar w:fldCharType="end"/>
      </w:r>
      <w:bookmarkStart w:name="a849963" w:id="143"/>
      <w:bookmarkStart w:name="_Toc113920821" w:id="144"/>
      <w:r>
        <w:t>Notices</w:t>
      </w:r>
      <w:bookmarkEnd w:id="143"/>
      <w:bookmarkEnd w:id="144"/>
    </w:p>
    <w:p w:rsidR="00242505" w:rsidP="00242505" w:rsidRDefault="00242505">
      <w:pPr>
        <w:pStyle w:val="Untitledsubclause1"/>
      </w:pPr>
      <w:bookmarkStart w:name="a381565" w:id="145"/>
      <w:r>
        <w:t xml:space="preserve">Any notice to the Landlord sent under or in connection with this agreement shall be deemed to have been properly served if: </w:t>
      </w:r>
      <w:bookmarkEnd w:id="145"/>
    </w:p>
    <w:p w:rsidR="00242505" w:rsidP="00242505" w:rsidRDefault="00242505">
      <w:pPr>
        <w:pStyle w:val="Untitledsubclause2"/>
      </w:pPr>
      <w:bookmarkStart w:name="a476757" w:id="146"/>
      <w:r>
        <w:t xml:space="preserve">sent by first class post to the Landlord's address given in </w:t>
      </w:r>
      <w:r>
        <w:fldChar w:fldCharType="begin"/>
      </w:r>
      <w:r>
        <w:instrText>PAGEREF a109442\# "'clause '"  \h</w:instrText>
      </w:r>
      <w:r>
        <w:fldChar w:fldCharType="separate"/>
      </w:r>
      <w:r>
        <w:t xml:space="preserve">clause </w:t>
      </w:r>
      <w:r>
        <w:fldChar w:fldCharType="end"/>
      </w:r>
      <w:r>
        <w:fldChar w:fldCharType="begin"/>
      </w:r>
      <w:r>
        <w:rPr>
          <w:highlight w:val="lightGray"/>
        </w:rPr>
        <w:instrText>REF a109442 \h \w</w:instrText>
      </w:r>
      <w:r>
        <w:fldChar w:fldCharType="separate"/>
      </w:r>
      <w:r w:rsidR="007773A3">
        <w:rPr>
          <w:highlight w:val="lightGray"/>
        </w:rPr>
        <w:t>15.4</w:t>
      </w:r>
      <w:r>
        <w:fldChar w:fldCharType="end"/>
      </w:r>
      <w:r>
        <w:t>;</w:t>
      </w:r>
      <w:bookmarkEnd w:id="146"/>
    </w:p>
    <w:p w:rsidR="00242505" w:rsidP="00242505" w:rsidRDefault="00242505">
      <w:pPr>
        <w:pStyle w:val="Untitledsubclause2"/>
      </w:pPr>
      <w:bookmarkStart w:name="a737344" w:id="147"/>
      <w:r>
        <w:t xml:space="preserve">left at the Landlord's address given in </w:t>
      </w:r>
      <w:r>
        <w:fldChar w:fldCharType="begin"/>
      </w:r>
      <w:r>
        <w:instrText>PAGEREF a109442\# "'clause '"  \h</w:instrText>
      </w:r>
      <w:r>
        <w:fldChar w:fldCharType="separate"/>
      </w:r>
      <w:r>
        <w:t xml:space="preserve">clause </w:t>
      </w:r>
      <w:r>
        <w:fldChar w:fldCharType="end"/>
      </w:r>
      <w:r>
        <w:fldChar w:fldCharType="begin"/>
      </w:r>
      <w:r>
        <w:rPr>
          <w:highlight w:val="lightGray"/>
        </w:rPr>
        <w:instrText>REF a109442 \h \w</w:instrText>
      </w:r>
      <w:r>
        <w:fldChar w:fldCharType="separate"/>
      </w:r>
      <w:r w:rsidR="007773A3">
        <w:rPr>
          <w:highlight w:val="lightGray"/>
        </w:rPr>
        <w:t>15.4</w:t>
      </w:r>
      <w:r>
        <w:fldChar w:fldCharType="end"/>
      </w:r>
      <w:r>
        <w:t>; or</w:t>
      </w:r>
      <w:bookmarkEnd w:id="147"/>
    </w:p>
    <w:p w:rsidR="00242505" w:rsidP="00242505" w:rsidRDefault="00242505">
      <w:pPr>
        <w:pStyle w:val="Untitledsubclause2"/>
      </w:pPr>
      <w:bookmarkStart w:name="a171063" w:id="148"/>
      <w:proofErr w:type="gramStart"/>
      <w:r>
        <w:t>sent</w:t>
      </w:r>
      <w:proofErr w:type="gramEnd"/>
      <w:r>
        <w:t xml:space="preserve"> to the Landlord's fax number or email address stated in the Parties clause.</w:t>
      </w:r>
      <w:bookmarkEnd w:id="148"/>
    </w:p>
    <w:p w:rsidR="00242505" w:rsidP="00242505" w:rsidRDefault="00242505">
      <w:pPr>
        <w:pStyle w:val="Untitledsubclause1"/>
      </w:pPr>
      <w:bookmarkStart w:name="a491584" w:id="149"/>
      <w:r>
        <w:t xml:space="preserve">Any notice sent to the Tenant under or in connection with this agreement shall be deemed to have been properly served if: </w:t>
      </w:r>
      <w:bookmarkEnd w:id="149"/>
    </w:p>
    <w:p w:rsidR="00242505" w:rsidP="00242505" w:rsidRDefault="00242505">
      <w:pPr>
        <w:pStyle w:val="Untitledsubclause2"/>
      </w:pPr>
      <w:bookmarkStart w:name="a228528" w:id="150"/>
      <w:r>
        <w:t>sent by first class post to the Property;</w:t>
      </w:r>
      <w:bookmarkEnd w:id="150"/>
    </w:p>
    <w:p w:rsidR="00242505" w:rsidP="00242505" w:rsidRDefault="00242505">
      <w:pPr>
        <w:pStyle w:val="Untitledsubclause2"/>
      </w:pPr>
      <w:bookmarkStart w:name="a862996" w:id="151"/>
      <w:r>
        <w:t>left at the Property; or</w:t>
      </w:r>
      <w:bookmarkEnd w:id="151"/>
    </w:p>
    <w:p w:rsidR="00242505" w:rsidP="00242505" w:rsidRDefault="00242505">
      <w:pPr>
        <w:pStyle w:val="Untitledsubclause2"/>
      </w:pPr>
      <w:bookmarkStart w:name="a703125" w:id="152"/>
      <w:proofErr w:type="gramStart"/>
      <w:r>
        <w:t>sent</w:t>
      </w:r>
      <w:proofErr w:type="gramEnd"/>
      <w:r>
        <w:t xml:space="preserve"> to the Tenant's fax number or email address stated in the Parties clause.</w:t>
      </w:r>
      <w:bookmarkEnd w:id="152"/>
    </w:p>
    <w:p w:rsidR="00242505" w:rsidP="00242505" w:rsidRDefault="00242505">
      <w:pPr>
        <w:pStyle w:val="Untitledsubclause1"/>
      </w:pPr>
      <w:bookmarkStart w:name="a962780" w:id="153"/>
      <w:r>
        <w:t xml:space="preserve">If a notice is given in accordance with </w:t>
      </w:r>
      <w:r>
        <w:fldChar w:fldCharType="begin"/>
      </w:r>
      <w:r>
        <w:instrText>PAGEREF a381565\# "'clause '"  \h</w:instrText>
      </w:r>
      <w:r>
        <w:fldChar w:fldCharType="separate"/>
      </w:r>
      <w:r>
        <w:t xml:space="preserve">clause </w:t>
      </w:r>
      <w:r>
        <w:fldChar w:fldCharType="end"/>
      </w:r>
      <w:r>
        <w:fldChar w:fldCharType="begin"/>
      </w:r>
      <w:r>
        <w:rPr>
          <w:highlight w:val="lightGray"/>
        </w:rPr>
        <w:instrText>REF a381565 \h \w</w:instrText>
      </w:r>
      <w:r>
        <w:fldChar w:fldCharType="separate"/>
      </w:r>
      <w:r w:rsidR="007773A3">
        <w:rPr>
          <w:highlight w:val="lightGray"/>
        </w:rPr>
        <w:t>15.1</w:t>
      </w:r>
      <w:r>
        <w:fldChar w:fldCharType="end"/>
      </w:r>
      <w:r w:rsidR="007773A3">
        <w:t>[</w:t>
      </w:r>
      <w:r>
        <w:t xml:space="preserve">or][,] </w:t>
      </w:r>
      <w:r>
        <w:fldChar w:fldCharType="begin"/>
      </w:r>
      <w:r>
        <w:instrText>PAGEREF a491584\# "'clause '"  \h</w:instrText>
      </w:r>
      <w:r>
        <w:fldChar w:fldCharType="separate"/>
      </w:r>
      <w:r>
        <w:t xml:space="preserve">clause </w:t>
      </w:r>
      <w:r>
        <w:fldChar w:fldCharType="end"/>
      </w:r>
      <w:r>
        <w:fldChar w:fldCharType="begin"/>
      </w:r>
      <w:r>
        <w:rPr>
          <w:highlight w:val="lightGray"/>
        </w:rPr>
        <w:instrText>REF a491584 \h \w</w:instrText>
      </w:r>
      <w:r>
        <w:fldChar w:fldCharType="separate"/>
      </w:r>
      <w:r w:rsidR="007773A3">
        <w:rPr>
          <w:highlight w:val="lightGray"/>
        </w:rPr>
        <w:t>15.2</w:t>
      </w:r>
      <w:r>
        <w:fldChar w:fldCharType="end"/>
      </w:r>
      <w:r>
        <w:t>, it shall be deemed to have been received:</w:t>
      </w:r>
      <w:bookmarkEnd w:id="153"/>
    </w:p>
    <w:p w:rsidR="00242505" w:rsidP="00242505" w:rsidRDefault="00242505">
      <w:pPr>
        <w:pStyle w:val="Untitledsubclause2"/>
      </w:pPr>
      <w:bookmarkStart w:name="a599109" w:id="154"/>
      <w:r>
        <w:t>if delivered by hand, at the time the notice is left at the proper address;</w:t>
      </w:r>
      <w:bookmarkEnd w:id="154"/>
    </w:p>
    <w:p w:rsidR="00242505" w:rsidP="00242505" w:rsidRDefault="00242505">
      <w:pPr>
        <w:pStyle w:val="Untitledsubclause2"/>
      </w:pPr>
      <w:bookmarkStart w:name="a367515" w:id="155"/>
      <w:r>
        <w:t>if sent by first-class post, on the second Working Day after posting;</w:t>
      </w:r>
      <w:bookmarkEnd w:id="155"/>
    </w:p>
    <w:p w:rsidR="00242505" w:rsidP="00242505" w:rsidRDefault="00242505">
      <w:pPr>
        <w:pStyle w:val="Untitledsubclause2"/>
      </w:pPr>
      <w:bookmarkStart w:name="a664401" w:id="156"/>
      <w:r>
        <w:t>if sent by fax, at 9.00 am on the next Working Day after transmission; or</w:t>
      </w:r>
      <w:bookmarkEnd w:id="156"/>
    </w:p>
    <w:p w:rsidR="00242505" w:rsidP="00242505" w:rsidRDefault="00242505">
      <w:pPr>
        <w:pStyle w:val="Untitledsubclause2"/>
      </w:pPr>
      <w:bookmarkStart w:name="a611093" w:id="157"/>
      <w:proofErr w:type="gramStart"/>
      <w:r>
        <w:t>if</w:t>
      </w:r>
      <w:proofErr w:type="gramEnd"/>
      <w:r>
        <w:t xml:space="preserve"> sent by email, at 9.00 am on the next Working Day after sending.</w:t>
      </w:r>
      <w:bookmarkEnd w:id="157"/>
    </w:p>
    <w:p w:rsidR="00242505" w:rsidP="00242505" w:rsidRDefault="00242505">
      <w:pPr>
        <w:pStyle w:val="Untitledsubclause1"/>
      </w:pPr>
      <w:bookmarkStart w:name="a109442" w:id="158"/>
      <w:r>
        <w:t>The Landlord's address for service is [LANDLORD'S ADDRESS FOR SERVICE].</w:t>
      </w:r>
      <w:bookmarkEnd w:id="158"/>
    </w:p>
    <w:p w:rsidR="00242505" w:rsidP="00242505" w:rsidRDefault="00242505">
      <w:pPr>
        <w:pStyle w:val="TitleClause"/>
      </w:pPr>
      <w:r>
        <w:fldChar w:fldCharType="begin"/>
      </w:r>
      <w:r>
        <w:instrText>TC "17. Governing law" \l 1</w:instrText>
      </w:r>
      <w:r>
        <w:fldChar w:fldCharType="end"/>
      </w:r>
      <w:r w:rsidRPr="007773A3" w:rsidR="007773A3">
        <w:t xml:space="preserve"> </w:t>
      </w:r>
      <w:bookmarkStart w:name="_Toc113920822" w:id="159"/>
      <w:r w:rsidR="007773A3">
        <w:t>Data Protection and Confidentiality</w:t>
      </w:r>
      <w:bookmarkEnd w:id="159"/>
    </w:p>
    <w:p w:rsidR="00242505" w:rsidP="007773A3" w:rsidRDefault="007773A3">
      <w:pPr>
        <w:pStyle w:val="NoNumUntitledsubclause1"/>
      </w:pPr>
      <w:bookmarkStart w:name="a998649" w:id="160"/>
      <w:r w:rsidRPr="007773A3">
        <w:t>The Tenant's personal data, which will be processed in the execution of this Agreement will be handled in accordance with the Data Protection Act 2018.</w:t>
      </w:r>
      <w:bookmarkEnd w:id="160"/>
    </w:p>
    <w:p w:rsidR="007773A3" w:rsidP="007773A3" w:rsidRDefault="007773A3">
      <w:pPr>
        <w:pStyle w:val="TitleClause"/>
      </w:pPr>
      <w:r>
        <w:fldChar w:fldCharType="begin"/>
      </w:r>
      <w:r>
        <w:instrText>TC "17. Governing law" \l 1</w:instrText>
      </w:r>
      <w:r>
        <w:fldChar w:fldCharType="end"/>
      </w:r>
      <w:bookmarkStart w:name="_Toc113920823" w:id="161"/>
      <w:r>
        <w:t>Governing law</w:t>
      </w:r>
      <w:bookmarkEnd w:id="161"/>
    </w:p>
    <w:p w:rsidR="007773A3" w:rsidP="007773A3" w:rsidRDefault="007773A3">
      <w:pPr>
        <w:pStyle w:val="NoNumUntitledsubclause1"/>
      </w:pPr>
      <w:r>
        <w:t>This agreement and any dispute or claim arising out of or in connection with it or its subject matter or formation (including non-contractual disputes or claims) shall be governed by and construed in accordance with the law of England and Wales.</w:t>
      </w:r>
    </w:p>
    <w:p w:rsidR="007773A3" w:rsidP="007773A3" w:rsidRDefault="007773A3">
      <w:pPr>
        <w:pStyle w:val="Testimonium"/>
        <w:ind w:firstLine="720"/>
      </w:pPr>
      <w:r>
        <w:t>This agreement has been entered into on the date stated at the beginning of it.</w:t>
      </w:r>
    </w:p>
    <w:p w:rsidR="007773A3" w:rsidP="007773A3" w:rsidRDefault="007773A3">
      <w:pPr>
        <w:pStyle w:val="Testimonium"/>
        <w:ind w:firstLine="720"/>
      </w:pPr>
    </w:p>
    <w:p w:rsidR="00242505" w:rsidP="00242505" w:rsidRDefault="00242505">
      <w:pPr>
        <w:pStyle w:val="Schedule"/>
        <w:pageBreakBefore/>
        <w:numPr>
          <w:ilvl w:val="0"/>
          <w:numId w:val="50"/>
        </w:numPr>
      </w:pPr>
      <w:bookmarkStart w:name="a991103" w:id="162"/>
      <w:bookmarkStart w:name="_Toc256000017" w:id="163"/>
      <w:r>
        <w:t>Lawful Occupiers</w:t>
      </w:r>
      <w:bookmarkEnd w:id="163"/>
      <w:bookmarkEnd w:id="162"/>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ook w:val="04A0" w:firstRow="1" w:lastRow="0" w:firstColumn="1" w:lastColumn="0" w:noHBand="0" w:noVBand="1"/>
      </w:tblPr>
      <w:tblGrid>
        <w:gridCol w:w="1839"/>
        <w:gridCol w:w="1295"/>
        <w:gridCol w:w="2621"/>
        <w:gridCol w:w="2135"/>
        <w:gridCol w:w="1450"/>
      </w:tblGrid>
      <w:tr w:rsidR="00242505" w:rsidTr="00242505">
        <w:tc>
          <w:tcPr>
            <w:tcW w:w="984" w:type="pct"/>
            <w:tcBorders>
              <w:top w:val="single" w:color="000000" w:sz="8" w:space="0"/>
              <w:left w:val="single" w:color="000000" w:sz="8" w:space="0"/>
              <w:bottom w:val="single" w:color="000000" w:sz="8" w:space="0"/>
              <w:right w:val="single" w:color="000000" w:sz="8" w:space="0"/>
            </w:tcBorders>
          </w:tcPr>
          <w:p w:rsidR="00242505" w:rsidP="00242505" w:rsidRDefault="00242505">
            <w:pPr>
              <w:pStyle w:val="Paragraph"/>
              <w:jc w:val="left"/>
              <w:rPr>
                <w:b/>
              </w:rPr>
            </w:pPr>
            <w:r>
              <w:rPr>
                <w:b/>
              </w:rPr>
              <w:t>Name</w:t>
            </w:r>
          </w:p>
        </w:tc>
        <w:tc>
          <w:tcPr>
            <w:tcW w:w="692" w:type="pct"/>
            <w:tcBorders>
              <w:top w:val="single" w:color="000000" w:sz="8" w:space="0"/>
              <w:left w:val="single" w:color="000000" w:sz="8" w:space="0"/>
              <w:bottom w:val="single" w:color="000000" w:sz="8" w:space="0"/>
              <w:right w:val="single" w:color="000000" w:sz="8" w:space="0"/>
            </w:tcBorders>
          </w:tcPr>
          <w:p w:rsidR="00242505" w:rsidP="00242505" w:rsidRDefault="00242505">
            <w:pPr>
              <w:pStyle w:val="Paragraph"/>
              <w:jc w:val="left"/>
              <w:rPr>
                <w:b/>
              </w:rPr>
            </w:pPr>
            <w:r>
              <w:rPr>
                <w:b/>
              </w:rPr>
              <w:t>Date of birth</w:t>
            </w:r>
            <w:r>
              <w:t xml:space="preserve"> (note if under 18, or will turn 18 during the term of the tenancy)</w:t>
            </w:r>
          </w:p>
        </w:tc>
        <w:tc>
          <w:tcPr>
            <w:tcW w:w="1402" w:type="pct"/>
            <w:tcBorders>
              <w:top w:val="single" w:color="000000" w:sz="8" w:space="0"/>
              <w:left w:val="single" w:color="000000" w:sz="8" w:space="0"/>
              <w:bottom w:val="single" w:color="000000" w:sz="8" w:space="0"/>
              <w:right w:val="single" w:color="000000" w:sz="8" w:space="0"/>
            </w:tcBorders>
          </w:tcPr>
          <w:p w:rsidR="00242505" w:rsidP="00242505" w:rsidRDefault="00242505">
            <w:pPr>
              <w:pStyle w:val="Paragraph"/>
              <w:jc w:val="left"/>
              <w:rPr>
                <w:b/>
              </w:rPr>
            </w:pPr>
            <w:r>
              <w:rPr>
                <w:b/>
              </w:rPr>
              <w:t>Documents checked</w:t>
            </w:r>
          </w:p>
        </w:tc>
        <w:tc>
          <w:tcPr>
            <w:tcW w:w="1142" w:type="pct"/>
            <w:tcBorders>
              <w:top w:val="single" w:color="000000" w:sz="8" w:space="0"/>
              <w:left w:val="single" w:color="000000" w:sz="8" w:space="0"/>
              <w:bottom w:val="single" w:color="000000" w:sz="8" w:space="0"/>
              <w:right w:val="single" w:color="000000" w:sz="8" w:space="0"/>
            </w:tcBorders>
          </w:tcPr>
          <w:p w:rsidR="00242505" w:rsidP="00242505" w:rsidRDefault="00242505">
            <w:pPr>
              <w:pStyle w:val="Paragraph"/>
              <w:jc w:val="left"/>
              <w:rPr>
                <w:b/>
              </w:rPr>
            </w:pPr>
            <w:r>
              <w:rPr>
                <w:b/>
              </w:rPr>
              <w:t>Immigration status</w:t>
            </w:r>
          </w:p>
          <w:p w:rsidR="00242505" w:rsidP="00242505" w:rsidRDefault="00242505">
            <w:pPr>
              <w:pStyle w:val="Paragraph"/>
              <w:jc w:val="left"/>
            </w:pPr>
            <w:r>
              <w:t>Delete as appropriate</w:t>
            </w:r>
          </w:p>
        </w:tc>
        <w:tc>
          <w:tcPr>
            <w:tcW w:w="775" w:type="pct"/>
            <w:tcBorders>
              <w:top w:val="single" w:color="000000" w:sz="8" w:space="0"/>
              <w:left w:val="single" w:color="000000" w:sz="8" w:space="0"/>
              <w:bottom w:val="single" w:color="000000" w:sz="8" w:space="0"/>
              <w:right w:val="single" w:color="000000" w:sz="8" w:space="0"/>
            </w:tcBorders>
          </w:tcPr>
          <w:p w:rsidR="00242505" w:rsidP="00242505" w:rsidRDefault="00242505">
            <w:pPr>
              <w:pStyle w:val="Paragraph"/>
              <w:jc w:val="left"/>
              <w:rPr>
                <w:b/>
              </w:rPr>
            </w:pPr>
            <w:r>
              <w:rPr>
                <w:b/>
              </w:rPr>
              <w:t>Date of check</w:t>
            </w:r>
          </w:p>
        </w:tc>
      </w:tr>
      <w:tr w:rsidR="00242505" w:rsidTr="00242505">
        <w:tc>
          <w:tcPr>
            <w:tcW w:w="984" w:type="pct"/>
            <w:tcBorders>
              <w:top w:val="single" w:color="000000" w:sz="8" w:space="0"/>
              <w:left w:val="single" w:color="000000" w:sz="8" w:space="0"/>
              <w:bottom w:val="single" w:color="000000" w:sz="8" w:space="0"/>
              <w:right w:val="single" w:color="000000" w:sz="8" w:space="0"/>
            </w:tcBorders>
          </w:tcPr>
          <w:p w:rsidR="00242505" w:rsidP="00242505" w:rsidRDefault="00242505">
            <w:pPr>
              <w:pStyle w:val="Paragraph"/>
              <w:jc w:val="left"/>
            </w:pPr>
            <w:r>
              <w:t>Tenant:</w:t>
            </w:r>
          </w:p>
        </w:tc>
        <w:tc>
          <w:tcPr>
            <w:tcW w:w="692" w:type="pct"/>
            <w:tcBorders>
              <w:top w:val="single" w:color="000000" w:sz="8" w:space="0"/>
              <w:left w:val="single" w:color="000000" w:sz="8" w:space="0"/>
              <w:bottom w:val="single" w:color="000000" w:sz="8" w:space="0"/>
              <w:right w:val="single" w:color="000000" w:sz="8" w:space="0"/>
            </w:tcBorders>
          </w:tcPr>
          <w:p w:rsidR="00242505" w:rsidP="00242505" w:rsidRDefault="00242505">
            <w:pPr>
              <w:pStyle w:val="Paragraph"/>
              <w:jc w:val="left"/>
            </w:pPr>
            <w:r>
              <w:t> </w:t>
            </w:r>
          </w:p>
        </w:tc>
        <w:tc>
          <w:tcPr>
            <w:tcW w:w="1402" w:type="pct"/>
            <w:tcBorders>
              <w:top w:val="single" w:color="000000" w:sz="8" w:space="0"/>
              <w:left w:val="single" w:color="000000" w:sz="8" w:space="0"/>
              <w:bottom w:val="single" w:color="000000" w:sz="8" w:space="0"/>
              <w:right w:val="single" w:color="000000" w:sz="8" w:space="0"/>
            </w:tcBorders>
          </w:tcPr>
          <w:p w:rsidR="00242505" w:rsidP="00242505" w:rsidRDefault="00242505">
            <w:pPr>
              <w:pStyle w:val="Paragraph"/>
              <w:jc w:val="left"/>
            </w:pPr>
            <w:r>
              <w:t> </w:t>
            </w:r>
          </w:p>
        </w:tc>
        <w:tc>
          <w:tcPr>
            <w:tcW w:w="1142" w:type="pct"/>
            <w:tcBorders>
              <w:top w:val="single" w:color="000000" w:sz="8" w:space="0"/>
              <w:left w:val="single" w:color="000000" w:sz="8" w:space="0"/>
              <w:bottom w:val="single" w:color="000000" w:sz="8" w:space="0"/>
              <w:right w:val="single" w:color="000000" w:sz="8" w:space="0"/>
            </w:tcBorders>
          </w:tcPr>
          <w:p w:rsidR="00242505" w:rsidP="00242505" w:rsidRDefault="00242505">
            <w:pPr>
              <w:pStyle w:val="Paragraph"/>
              <w:jc w:val="left"/>
            </w:pPr>
            <w:r>
              <w:t> Unlimited right to rent/</w:t>
            </w:r>
          </w:p>
          <w:p w:rsidR="00242505" w:rsidP="00242505" w:rsidRDefault="00242505">
            <w:pPr>
              <w:pStyle w:val="Paragraph"/>
              <w:jc w:val="left"/>
            </w:pPr>
            <w:r>
              <w:t>Time-limited right to rent, expiring on:</w:t>
            </w:r>
          </w:p>
        </w:tc>
        <w:tc>
          <w:tcPr>
            <w:tcW w:w="775" w:type="pct"/>
            <w:tcBorders>
              <w:top w:val="single" w:color="000000" w:sz="8" w:space="0"/>
              <w:left w:val="single" w:color="000000" w:sz="8" w:space="0"/>
              <w:bottom w:val="single" w:color="000000" w:sz="8" w:space="0"/>
              <w:right w:val="single" w:color="000000" w:sz="8" w:space="0"/>
            </w:tcBorders>
          </w:tcPr>
          <w:p w:rsidR="00242505" w:rsidP="00242505" w:rsidRDefault="00242505">
            <w:pPr>
              <w:pStyle w:val="Paragraph"/>
              <w:jc w:val="left"/>
            </w:pPr>
            <w:r>
              <w:t> </w:t>
            </w:r>
          </w:p>
        </w:tc>
      </w:tr>
      <w:tr w:rsidR="00242505" w:rsidTr="00242505">
        <w:tc>
          <w:tcPr>
            <w:tcW w:w="984" w:type="pct"/>
            <w:tcBorders>
              <w:top w:val="single" w:color="000000" w:sz="8" w:space="0"/>
              <w:left w:val="single" w:color="000000" w:sz="8" w:space="0"/>
              <w:bottom w:val="single" w:color="000000" w:sz="8" w:space="0"/>
              <w:right w:val="single" w:color="000000" w:sz="8" w:space="0"/>
            </w:tcBorders>
          </w:tcPr>
          <w:p w:rsidR="00242505" w:rsidRDefault="00242505"/>
        </w:tc>
        <w:tc>
          <w:tcPr>
            <w:tcW w:w="692" w:type="pct"/>
            <w:tcBorders>
              <w:top w:val="single" w:color="000000" w:sz="8" w:space="0"/>
              <w:left w:val="single" w:color="000000" w:sz="8" w:space="0"/>
              <w:bottom w:val="single" w:color="000000" w:sz="8" w:space="0"/>
              <w:right w:val="single" w:color="000000" w:sz="8" w:space="0"/>
            </w:tcBorders>
          </w:tcPr>
          <w:p w:rsidR="00242505" w:rsidRDefault="00242505"/>
        </w:tc>
        <w:tc>
          <w:tcPr>
            <w:tcW w:w="1402" w:type="pct"/>
            <w:tcBorders>
              <w:top w:val="single" w:color="000000" w:sz="8" w:space="0"/>
              <w:left w:val="single" w:color="000000" w:sz="8" w:space="0"/>
              <w:bottom w:val="single" w:color="000000" w:sz="8" w:space="0"/>
              <w:right w:val="single" w:color="000000" w:sz="8" w:space="0"/>
            </w:tcBorders>
          </w:tcPr>
          <w:p w:rsidR="00242505" w:rsidRDefault="00242505"/>
        </w:tc>
        <w:tc>
          <w:tcPr>
            <w:tcW w:w="1142" w:type="pct"/>
            <w:tcBorders>
              <w:top w:val="single" w:color="000000" w:sz="8" w:space="0"/>
              <w:left w:val="single" w:color="000000" w:sz="8" w:space="0"/>
              <w:bottom w:val="single" w:color="000000" w:sz="8" w:space="0"/>
              <w:right w:val="single" w:color="000000" w:sz="8" w:space="0"/>
            </w:tcBorders>
          </w:tcPr>
          <w:p w:rsidR="00242505" w:rsidP="00242505" w:rsidRDefault="00242505">
            <w:pPr>
              <w:pStyle w:val="Paragraph"/>
              <w:jc w:val="left"/>
            </w:pPr>
            <w:r>
              <w:t> Unlimited right to rent/</w:t>
            </w:r>
          </w:p>
          <w:p w:rsidR="00242505" w:rsidP="00242505" w:rsidRDefault="00242505">
            <w:pPr>
              <w:pStyle w:val="Paragraph"/>
              <w:jc w:val="left"/>
            </w:pPr>
            <w:r>
              <w:t>Time-limited right to rent, expiring on:</w:t>
            </w:r>
          </w:p>
        </w:tc>
        <w:tc>
          <w:tcPr>
            <w:tcW w:w="775" w:type="pct"/>
            <w:tcBorders>
              <w:top w:val="single" w:color="000000" w:sz="8" w:space="0"/>
              <w:left w:val="single" w:color="000000" w:sz="8" w:space="0"/>
              <w:bottom w:val="single" w:color="000000" w:sz="8" w:space="0"/>
              <w:right w:val="single" w:color="000000" w:sz="8" w:space="0"/>
            </w:tcBorders>
          </w:tcPr>
          <w:p w:rsidR="00242505" w:rsidRDefault="00242505"/>
        </w:tc>
      </w:tr>
      <w:tr w:rsidR="00242505" w:rsidTr="00242505">
        <w:tc>
          <w:tcPr>
            <w:tcW w:w="984" w:type="pct"/>
            <w:tcBorders>
              <w:top w:val="single" w:color="000000" w:sz="8" w:space="0"/>
              <w:left w:val="single" w:color="000000" w:sz="8" w:space="0"/>
              <w:bottom w:val="single" w:color="000000" w:sz="8" w:space="0"/>
              <w:right w:val="single" w:color="000000" w:sz="8" w:space="0"/>
            </w:tcBorders>
          </w:tcPr>
          <w:p w:rsidR="00242505" w:rsidRDefault="00242505"/>
        </w:tc>
        <w:tc>
          <w:tcPr>
            <w:tcW w:w="692" w:type="pct"/>
            <w:tcBorders>
              <w:top w:val="single" w:color="000000" w:sz="8" w:space="0"/>
              <w:left w:val="single" w:color="000000" w:sz="8" w:space="0"/>
              <w:bottom w:val="single" w:color="000000" w:sz="8" w:space="0"/>
              <w:right w:val="single" w:color="000000" w:sz="8" w:space="0"/>
            </w:tcBorders>
          </w:tcPr>
          <w:p w:rsidR="00242505" w:rsidRDefault="00242505"/>
        </w:tc>
        <w:tc>
          <w:tcPr>
            <w:tcW w:w="1402" w:type="pct"/>
            <w:tcBorders>
              <w:top w:val="single" w:color="000000" w:sz="8" w:space="0"/>
              <w:left w:val="single" w:color="000000" w:sz="8" w:space="0"/>
              <w:bottom w:val="single" w:color="000000" w:sz="8" w:space="0"/>
              <w:right w:val="single" w:color="000000" w:sz="8" w:space="0"/>
            </w:tcBorders>
          </w:tcPr>
          <w:p w:rsidR="00242505" w:rsidRDefault="00242505"/>
        </w:tc>
        <w:tc>
          <w:tcPr>
            <w:tcW w:w="1142" w:type="pct"/>
            <w:tcBorders>
              <w:top w:val="single" w:color="000000" w:sz="8" w:space="0"/>
              <w:left w:val="single" w:color="000000" w:sz="8" w:space="0"/>
              <w:bottom w:val="single" w:color="000000" w:sz="8" w:space="0"/>
              <w:right w:val="single" w:color="000000" w:sz="8" w:space="0"/>
            </w:tcBorders>
          </w:tcPr>
          <w:p w:rsidR="00242505" w:rsidP="00242505" w:rsidRDefault="00242505">
            <w:pPr>
              <w:pStyle w:val="Paragraph"/>
              <w:jc w:val="left"/>
            </w:pPr>
            <w:r>
              <w:t> Unlimited right to rent/</w:t>
            </w:r>
          </w:p>
          <w:p w:rsidR="00242505" w:rsidP="00242505" w:rsidRDefault="00242505">
            <w:pPr>
              <w:pStyle w:val="Paragraph"/>
              <w:jc w:val="left"/>
            </w:pPr>
            <w:r>
              <w:t>Time-limited right to rent, expiring on:</w:t>
            </w:r>
          </w:p>
        </w:tc>
        <w:tc>
          <w:tcPr>
            <w:tcW w:w="775" w:type="pct"/>
            <w:tcBorders>
              <w:top w:val="single" w:color="000000" w:sz="8" w:space="0"/>
              <w:left w:val="single" w:color="000000" w:sz="8" w:space="0"/>
              <w:bottom w:val="single" w:color="000000" w:sz="8" w:space="0"/>
              <w:right w:val="single" w:color="000000" w:sz="8" w:space="0"/>
            </w:tcBorders>
          </w:tcPr>
          <w:p w:rsidR="00242505" w:rsidRDefault="00242505"/>
        </w:tc>
      </w:tr>
      <w:tr w:rsidR="00242505" w:rsidTr="00242505">
        <w:tc>
          <w:tcPr>
            <w:tcW w:w="984" w:type="pct"/>
            <w:tcBorders>
              <w:top w:val="single" w:color="000000" w:sz="8" w:space="0"/>
              <w:left w:val="single" w:color="000000" w:sz="8" w:space="0"/>
              <w:bottom w:val="single" w:color="000000" w:sz="8" w:space="0"/>
              <w:right w:val="single" w:color="000000" w:sz="8" w:space="0"/>
            </w:tcBorders>
          </w:tcPr>
          <w:p w:rsidR="00242505" w:rsidRDefault="00242505"/>
        </w:tc>
        <w:tc>
          <w:tcPr>
            <w:tcW w:w="692" w:type="pct"/>
            <w:tcBorders>
              <w:top w:val="single" w:color="000000" w:sz="8" w:space="0"/>
              <w:left w:val="single" w:color="000000" w:sz="8" w:space="0"/>
              <w:bottom w:val="single" w:color="000000" w:sz="8" w:space="0"/>
              <w:right w:val="single" w:color="000000" w:sz="8" w:space="0"/>
            </w:tcBorders>
          </w:tcPr>
          <w:p w:rsidR="00242505" w:rsidRDefault="00242505"/>
        </w:tc>
        <w:tc>
          <w:tcPr>
            <w:tcW w:w="1402" w:type="pct"/>
            <w:tcBorders>
              <w:top w:val="single" w:color="000000" w:sz="8" w:space="0"/>
              <w:left w:val="single" w:color="000000" w:sz="8" w:space="0"/>
              <w:bottom w:val="single" w:color="000000" w:sz="8" w:space="0"/>
              <w:right w:val="single" w:color="000000" w:sz="8" w:space="0"/>
            </w:tcBorders>
          </w:tcPr>
          <w:p w:rsidR="00242505" w:rsidRDefault="00242505"/>
        </w:tc>
        <w:tc>
          <w:tcPr>
            <w:tcW w:w="1142" w:type="pct"/>
            <w:tcBorders>
              <w:top w:val="single" w:color="000000" w:sz="8" w:space="0"/>
              <w:left w:val="single" w:color="000000" w:sz="8" w:space="0"/>
              <w:bottom w:val="single" w:color="000000" w:sz="8" w:space="0"/>
              <w:right w:val="single" w:color="000000" w:sz="8" w:space="0"/>
            </w:tcBorders>
          </w:tcPr>
          <w:p w:rsidR="00242505" w:rsidP="00242505" w:rsidRDefault="00242505">
            <w:pPr>
              <w:pStyle w:val="Paragraph"/>
              <w:jc w:val="left"/>
            </w:pPr>
            <w:r>
              <w:t> Unlimited right to rent/</w:t>
            </w:r>
          </w:p>
          <w:p w:rsidR="00242505" w:rsidP="00242505" w:rsidRDefault="00242505">
            <w:pPr>
              <w:pStyle w:val="Paragraph"/>
              <w:jc w:val="left"/>
            </w:pPr>
            <w:r>
              <w:t>Time-limited right to rent, expiring on:</w:t>
            </w:r>
          </w:p>
        </w:tc>
        <w:tc>
          <w:tcPr>
            <w:tcW w:w="775" w:type="pct"/>
            <w:tcBorders>
              <w:top w:val="single" w:color="000000" w:sz="8" w:space="0"/>
              <w:left w:val="single" w:color="000000" w:sz="8" w:space="0"/>
              <w:bottom w:val="single" w:color="000000" w:sz="8" w:space="0"/>
              <w:right w:val="single" w:color="000000" w:sz="8" w:space="0"/>
            </w:tcBorders>
          </w:tcPr>
          <w:p w:rsidR="00242505" w:rsidRDefault="00242505"/>
        </w:tc>
      </w:tr>
    </w:tbl>
    <w:p w:rsidR="00242505" w:rsidRDefault="00242505">
      <w:r>
        <w:br w:type="page"/>
      </w:r>
      <w:r w:rsidRPr="007773A3" w:rsidR="007773A3">
        <w:t>Signed by [NAME OF LANDLORD]</w:t>
      </w:r>
      <w:r w:rsidR="007773A3">
        <w:tab/>
      </w:r>
      <w:r w:rsidR="007773A3">
        <w:tab/>
      </w:r>
      <w:r w:rsidR="007773A3">
        <w:tab/>
      </w:r>
      <w:r w:rsidR="007773A3">
        <w:tab/>
        <w:t>………………………..</w:t>
      </w:r>
    </w:p>
    <w:p w:rsidR="007773A3" w:rsidRDefault="007773A3"/>
    <w:p w:rsidR="007773A3" w:rsidRDefault="007773A3">
      <w:r w:rsidRPr="007773A3">
        <w:t xml:space="preserve">Signed by [NAME OF </w:t>
      </w:r>
      <w:r>
        <w:t>TENANT</w:t>
      </w:r>
      <w:r w:rsidRPr="007773A3">
        <w:t>]</w:t>
      </w:r>
      <w:r>
        <w:tab/>
      </w:r>
      <w:r>
        <w:tab/>
      </w:r>
      <w:r>
        <w:tab/>
      </w:r>
      <w:r>
        <w:tab/>
        <w:t>………………………..</w:t>
      </w:r>
    </w:p>
    <w:p w:rsidR="007773A3" w:rsidRDefault="007773A3"/>
    <w:p w:rsidR="00242505" w:rsidRDefault="00242505"/>
    <w:sectPr w:rsidR="0024250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505" w:rsidRDefault="00242505">
      <w:pPr>
        <w:spacing w:after="0" w:line="240" w:lineRule="auto"/>
      </w:pPr>
      <w:r>
        <w:separator/>
      </w:r>
    </w:p>
  </w:endnote>
  <w:endnote w:type="continuationSeparator" w:id="0">
    <w:p w:rsidR="00242505" w:rsidRDefault="0024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505" w:rsidRDefault="00242505">
    <w:pPr>
      <w:jc w:val="center"/>
    </w:pPr>
    <w:r>
      <w:fldChar w:fldCharType="begin"/>
    </w:r>
    <w:r>
      <w:instrText>PAGE</w:instrText>
    </w:r>
    <w:r>
      <w:fldChar w:fldCharType="separate"/>
    </w:r>
    <w:r w:rsidR="00EB62D3">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505" w:rsidRDefault="00242505">
      <w:pPr>
        <w:spacing w:after="0" w:line="240" w:lineRule="auto"/>
      </w:pPr>
      <w:r>
        <w:separator/>
      </w:r>
    </w:p>
  </w:footnote>
  <w:footnote w:type="continuationSeparator" w:id="0">
    <w:p w:rsidR="00242505" w:rsidRDefault="00242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start w:val="1"/>
      <w:numFmt w:val="bullet"/>
      <w:pStyle w:val="DefinedTermBullet"/>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start w:val="1"/>
      <w:numFmt w:val="lowerLetter"/>
      <w:lvlText w:val="%1)"/>
      <w:lvlJc w:val="left"/>
      <w:pPr>
        <w:ind w:left="1714" w:hanging="360"/>
      </w:pPr>
      <w:rPr>
        <w:color w:val="000000"/>
      </w:rPr>
    </w:lvl>
    <w:lvl w:ilvl="1" w:tentative="1">
      <w:start w:val="1"/>
      <w:numFmt w:val="lowerLetter"/>
      <w:lvlText w:val="%2."/>
      <w:lvlJc w:val="left"/>
      <w:pPr>
        <w:ind w:left="2434" w:hanging="360"/>
      </w:pPr>
    </w:lvl>
    <w:lvl w:ilvl="2" w:tentative="1">
      <w:start w:val="1"/>
      <w:numFmt w:val="lowerRoman"/>
      <w:lvlText w:val="%3."/>
      <w:lvlJc w:val="right"/>
      <w:pPr>
        <w:ind w:left="3154" w:hanging="180"/>
      </w:pPr>
    </w:lvl>
    <w:lvl w:ilvl="3" w:tentative="1">
      <w:start w:val="1"/>
      <w:numFmt w:val="decimal"/>
      <w:lvlText w:val="%4."/>
      <w:lvlJc w:val="left"/>
      <w:pPr>
        <w:ind w:left="3874" w:hanging="360"/>
      </w:pPr>
    </w:lvl>
    <w:lvl w:ilvl="4" w:tentative="1">
      <w:start w:val="1"/>
      <w:numFmt w:val="lowerLetter"/>
      <w:lvlText w:val="%5."/>
      <w:lvlJc w:val="left"/>
      <w:pPr>
        <w:ind w:left="4594" w:hanging="360"/>
      </w:pPr>
    </w:lvl>
    <w:lvl w:ilvl="5" w:tentative="1">
      <w:start w:val="1"/>
      <w:numFmt w:val="lowerRoman"/>
      <w:lvlText w:val="%6."/>
      <w:lvlJc w:val="right"/>
      <w:pPr>
        <w:ind w:left="5314" w:hanging="180"/>
      </w:pPr>
    </w:lvl>
    <w:lvl w:ilvl="6" w:tentative="1">
      <w:start w:val="1"/>
      <w:numFmt w:val="decimal"/>
      <w:lvlText w:val="%7."/>
      <w:lvlJc w:val="left"/>
      <w:pPr>
        <w:ind w:left="6034" w:hanging="360"/>
      </w:pPr>
    </w:lvl>
    <w:lvl w:ilvl="7" w:tentative="1">
      <w:start w:val="1"/>
      <w:numFmt w:val="lowerLetter"/>
      <w:lvlText w:val="%8."/>
      <w:lvlJc w:val="left"/>
      <w:pPr>
        <w:ind w:left="6754" w:hanging="360"/>
      </w:pPr>
    </w:lvl>
    <w:lvl w:ilvl="8"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start w:val="1"/>
      <w:numFmt w:val="decimal"/>
      <w:lvlText w:val="Schedule %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start w:val="1"/>
      <w:numFmt w:val="decimal"/>
      <w:pStyle w:val="ScheduleHeading-Single"/>
      <w:lvlText w:val="Schedule"/>
      <w:lvlJc w:val="left"/>
      <w:pPr>
        <w:tabs>
          <w:tab w:val="num" w:pos="720"/>
        </w:tabs>
        <w:ind w:left="720" w:hanging="72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start w:val="1"/>
      <w:numFmt w:val="decimal"/>
      <w:lvlText w:val="Part %1"/>
      <w:lvlJc w:val="left"/>
      <w:pPr>
        <w:ind w:left="720" w:hanging="360"/>
      </w:pPr>
      <w:rPr>
        <w:rFonts w:hint="default"/>
        <w:b/>
        <w:i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start w:val="1"/>
      <w:numFmt w:val="decimal"/>
      <w:pStyle w:val="QuestionParagraph"/>
      <w:lvlText w:val="%1."/>
      <w:lvlJc w:val="left"/>
      <w:pPr>
        <w:ind w:left="720" w:hanging="360"/>
      </w:pPr>
      <w:rPr>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start w:val="1"/>
      <w:numFmt w:val="bullet"/>
      <w:pStyle w:val="subclause2Bullet2"/>
      <w:lvlText w:val=""/>
      <w:lvlJc w:val="left"/>
      <w:pPr>
        <w:ind w:left="2279" w:hanging="360"/>
      </w:pPr>
      <w:rPr>
        <w:rFonts w:ascii="Symbol" w:hAnsi="Symbol" w:hint="default"/>
        <w:color w:val="000000"/>
      </w:rPr>
    </w:lvl>
    <w:lvl w:ilvl="1" w:tentative="1">
      <w:start w:val="1"/>
      <w:numFmt w:val="bullet"/>
      <w:lvlText w:val="o"/>
      <w:lvlJc w:val="left"/>
      <w:pPr>
        <w:ind w:left="2999" w:hanging="360"/>
      </w:pPr>
      <w:rPr>
        <w:rFonts w:ascii="Courier New" w:hAnsi="Courier New" w:cs="Courier New" w:hint="default"/>
      </w:rPr>
    </w:lvl>
    <w:lvl w:ilvl="2" w:tentative="1">
      <w:start w:val="1"/>
      <w:numFmt w:val="bullet"/>
      <w:lvlText w:val=""/>
      <w:lvlJc w:val="left"/>
      <w:pPr>
        <w:ind w:left="3719" w:hanging="360"/>
      </w:pPr>
      <w:rPr>
        <w:rFonts w:ascii="Wingdings" w:hAnsi="Wingdings" w:hint="default"/>
      </w:rPr>
    </w:lvl>
    <w:lvl w:ilvl="3" w:tentative="1">
      <w:start w:val="1"/>
      <w:numFmt w:val="bullet"/>
      <w:lvlText w:val=""/>
      <w:lvlJc w:val="left"/>
      <w:pPr>
        <w:ind w:left="4439" w:hanging="360"/>
      </w:pPr>
      <w:rPr>
        <w:rFonts w:ascii="Symbol" w:hAnsi="Symbol" w:hint="default"/>
      </w:rPr>
    </w:lvl>
    <w:lvl w:ilvl="4" w:tentative="1">
      <w:start w:val="1"/>
      <w:numFmt w:val="bullet"/>
      <w:lvlText w:val="o"/>
      <w:lvlJc w:val="left"/>
      <w:pPr>
        <w:ind w:left="5159" w:hanging="360"/>
      </w:pPr>
      <w:rPr>
        <w:rFonts w:ascii="Courier New" w:hAnsi="Courier New" w:cs="Courier New" w:hint="default"/>
      </w:rPr>
    </w:lvl>
    <w:lvl w:ilvl="5" w:tentative="1">
      <w:start w:val="1"/>
      <w:numFmt w:val="bullet"/>
      <w:lvlText w:val=""/>
      <w:lvlJc w:val="left"/>
      <w:pPr>
        <w:ind w:left="5879" w:hanging="360"/>
      </w:pPr>
      <w:rPr>
        <w:rFonts w:ascii="Wingdings" w:hAnsi="Wingdings" w:hint="default"/>
      </w:rPr>
    </w:lvl>
    <w:lvl w:ilvl="6" w:tentative="1">
      <w:start w:val="1"/>
      <w:numFmt w:val="bullet"/>
      <w:lvlText w:val=""/>
      <w:lvlJc w:val="left"/>
      <w:pPr>
        <w:ind w:left="6599" w:hanging="360"/>
      </w:pPr>
      <w:rPr>
        <w:rFonts w:ascii="Symbol" w:hAnsi="Symbol" w:hint="default"/>
      </w:rPr>
    </w:lvl>
    <w:lvl w:ilvl="7" w:tentative="1">
      <w:start w:val="1"/>
      <w:numFmt w:val="bullet"/>
      <w:lvlText w:val="o"/>
      <w:lvlJc w:val="left"/>
      <w:pPr>
        <w:ind w:left="7319" w:hanging="360"/>
      </w:pPr>
      <w:rPr>
        <w:rFonts w:ascii="Courier New" w:hAnsi="Courier New" w:cs="Courier New" w:hint="default"/>
      </w:rPr>
    </w:lvl>
    <w:lvl w:ilvl="8"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start w:val="1"/>
      <w:numFmt w:val="bullet"/>
      <w:pStyle w:val="BulletList2"/>
      <w:lvlText w:val=""/>
      <w:lvlJc w:val="left"/>
      <w:pPr>
        <w:tabs>
          <w:tab w:val="num" w:pos="1077"/>
        </w:tabs>
        <w:ind w:left="1077"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start w:val="1"/>
      <w:numFmt w:val="bullet"/>
      <w:pStyle w:val="Bullet4"/>
      <w:lvlText w:val=""/>
      <w:lvlJc w:val="left"/>
      <w:pPr>
        <w:tabs>
          <w:tab w:val="num" w:pos="2676"/>
        </w:tabs>
        <w:ind w:left="2676"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start w:val="1"/>
      <w:numFmt w:val="bullet"/>
      <w:pStyle w:val="ClauseBullet2"/>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start w:val="1"/>
      <w:numFmt w:val="bullet"/>
      <w:lvlText w:val=""/>
      <w:lvlJc w:val="left"/>
      <w:pPr>
        <w:ind w:left="720" w:hanging="360"/>
      </w:pPr>
      <w:rPr>
        <w:rFonts w:ascii="Symbol" w:hAnsi="Symbo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start w:val="1"/>
      <w:numFmt w:val="bullet"/>
      <w:pStyle w:val="subclause1Bullet2"/>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start w:val="1"/>
      <w:numFmt w:val="bullet"/>
      <w:pStyle w:val="subclause3Bullet1"/>
      <w:lvlText w:val=""/>
      <w:lvlJc w:val="left"/>
      <w:pPr>
        <w:ind w:left="2988" w:hanging="360"/>
      </w:pPr>
      <w:rPr>
        <w:rFonts w:ascii="Symbol" w:hAnsi="Symbol" w:hint="default"/>
        <w:color w:val="000000"/>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start w:val="1"/>
      <w:numFmt w:val="bullet"/>
      <w:pStyle w:val="subclause2Bullet1"/>
      <w:lvlText w:val=""/>
      <w:lvlJc w:val="left"/>
      <w:pPr>
        <w:ind w:left="2279" w:hanging="360"/>
      </w:pPr>
      <w:rPr>
        <w:rFonts w:ascii="Symbol" w:hAnsi="Symbol" w:hint="default"/>
        <w:color w:val="000000"/>
      </w:rPr>
    </w:lvl>
    <w:lvl w:ilvl="1" w:tentative="1">
      <w:start w:val="1"/>
      <w:numFmt w:val="bullet"/>
      <w:lvlText w:val="o"/>
      <w:lvlJc w:val="left"/>
      <w:pPr>
        <w:ind w:left="2999" w:hanging="360"/>
      </w:pPr>
      <w:rPr>
        <w:rFonts w:ascii="Courier New" w:hAnsi="Courier New" w:cs="Courier New" w:hint="default"/>
      </w:rPr>
    </w:lvl>
    <w:lvl w:ilvl="2" w:tentative="1">
      <w:start w:val="1"/>
      <w:numFmt w:val="bullet"/>
      <w:lvlText w:val=""/>
      <w:lvlJc w:val="left"/>
      <w:pPr>
        <w:ind w:left="3719" w:hanging="360"/>
      </w:pPr>
      <w:rPr>
        <w:rFonts w:ascii="Wingdings" w:hAnsi="Wingdings" w:hint="default"/>
      </w:rPr>
    </w:lvl>
    <w:lvl w:ilvl="3" w:tentative="1">
      <w:start w:val="1"/>
      <w:numFmt w:val="bullet"/>
      <w:lvlText w:val=""/>
      <w:lvlJc w:val="left"/>
      <w:pPr>
        <w:ind w:left="4439" w:hanging="360"/>
      </w:pPr>
      <w:rPr>
        <w:rFonts w:ascii="Symbol" w:hAnsi="Symbol" w:hint="default"/>
      </w:rPr>
    </w:lvl>
    <w:lvl w:ilvl="4" w:tentative="1">
      <w:start w:val="1"/>
      <w:numFmt w:val="bullet"/>
      <w:lvlText w:val="o"/>
      <w:lvlJc w:val="left"/>
      <w:pPr>
        <w:ind w:left="5159" w:hanging="360"/>
      </w:pPr>
      <w:rPr>
        <w:rFonts w:ascii="Courier New" w:hAnsi="Courier New" w:cs="Courier New" w:hint="default"/>
      </w:rPr>
    </w:lvl>
    <w:lvl w:ilvl="5" w:tentative="1">
      <w:start w:val="1"/>
      <w:numFmt w:val="bullet"/>
      <w:lvlText w:val=""/>
      <w:lvlJc w:val="left"/>
      <w:pPr>
        <w:ind w:left="5879" w:hanging="360"/>
      </w:pPr>
      <w:rPr>
        <w:rFonts w:ascii="Wingdings" w:hAnsi="Wingdings" w:hint="default"/>
      </w:rPr>
    </w:lvl>
    <w:lvl w:ilvl="6" w:tentative="1">
      <w:start w:val="1"/>
      <w:numFmt w:val="bullet"/>
      <w:lvlText w:val=""/>
      <w:lvlJc w:val="left"/>
      <w:pPr>
        <w:ind w:left="6599" w:hanging="360"/>
      </w:pPr>
      <w:rPr>
        <w:rFonts w:ascii="Symbol" w:hAnsi="Symbol" w:hint="default"/>
      </w:rPr>
    </w:lvl>
    <w:lvl w:ilvl="7" w:tentative="1">
      <w:start w:val="1"/>
      <w:numFmt w:val="bullet"/>
      <w:lvlText w:val="o"/>
      <w:lvlJc w:val="left"/>
      <w:pPr>
        <w:ind w:left="7319" w:hanging="360"/>
      </w:pPr>
      <w:rPr>
        <w:rFonts w:ascii="Courier New" w:hAnsi="Courier New" w:cs="Courier New" w:hint="default"/>
      </w:rPr>
    </w:lvl>
    <w:lvl w:ilvl="8"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start w:val="1"/>
      <w:numFmt w:val="bullet"/>
      <w:pStyle w:val="subclause1Bullet1"/>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start w:val="1"/>
      <w:numFmt w:val="decimal"/>
      <w:pStyle w:val="LongQuestionPara"/>
      <w:lvlText w:val="%1."/>
      <w:lvlJc w:val="left"/>
      <w:pPr>
        <w:ind w:left="360" w:hanging="360"/>
      </w:pPr>
      <w:rPr>
        <w:rFonts w:hint="default"/>
        <w:b/>
        <w:i w:val="0"/>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start w:val="1"/>
      <w:numFmt w:val="lowerLetter"/>
      <w:lvlText w:val="(%1)"/>
      <w:lvlJc w:val="left"/>
      <w:pPr>
        <w:ind w:left="1440" w:hanging="360"/>
      </w:pPr>
      <w:rPr>
        <w:rFonts w:hint="default"/>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start w:val="1"/>
      <w:numFmt w:val="bullet"/>
      <w:pStyle w:val="ClauseBullet1"/>
      <w:lvlText w:val=""/>
      <w:lvlJc w:val="left"/>
      <w:pPr>
        <w:ind w:left="1080" w:hanging="360"/>
      </w:pPr>
      <w:rPr>
        <w:rFonts w:ascii="Symbol" w:hAnsi="Symbol" w:hint="default"/>
        <w:color w:val="00000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start w:val="1"/>
      <w:numFmt w:val="bullet"/>
      <w:pStyle w:val="subclause3Bullet2"/>
      <w:lvlText w:val=""/>
      <w:lvlJc w:val="left"/>
      <w:pPr>
        <w:ind w:left="3748" w:hanging="360"/>
      </w:pPr>
      <w:rPr>
        <w:rFonts w:ascii="Symbol" w:hAnsi="Symbol" w:hint="default"/>
        <w:color w:val="000000"/>
      </w:rPr>
    </w:lvl>
    <w:lvl w:ilvl="1" w:tentative="1">
      <w:start w:val="1"/>
      <w:numFmt w:val="bullet"/>
      <w:lvlText w:val="o"/>
      <w:lvlJc w:val="left"/>
      <w:pPr>
        <w:ind w:left="4468" w:hanging="360"/>
      </w:pPr>
      <w:rPr>
        <w:rFonts w:ascii="Courier New" w:hAnsi="Courier New" w:cs="Courier New" w:hint="default"/>
      </w:rPr>
    </w:lvl>
    <w:lvl w:ilvl="2" w:tentative="1">
      <w:start w:val="1"/>
      <w:numFmt w:val="bullet"/>
      <w:lvlText w:val=""/>
      <w:lvlJc w:val="left"/>
      <w:pPr>
        <w:ind w:left="5188" w:hanging="360"/>
      </w:pPr>
      <w:rPr>
        <w:rFonts w:ascii="Wingdings" w:hAnsi="Wingdings" w:hint="default"/>
      </w:rPr>
    </w:lvl>
    <w:lvl w:ilvl="3" w:tentative="1">
      <w:start w:val="1"/>
      <w:numFmt w:val="bullet"/>
      <w:lvlText w:val=""/>
      <w:lvlJc w:val="left"/>
      <w:pPr>
        <w:ind w:left="5908" w:hanging="360"/>
      </w:pPr>
      <w:rPr>
        <w:rFonts w:ascii="Symbol" w:hAnsi="Symbol" w:hint="default"/>
      </w:rPr>
    </w:lvl>
    <w:lvl w:ilvl="4" w:tentative="1">
      <w:start w:val="1"/>
      <w:numFmt w:val="bullet"/>
      <w:lvlText w:val="o"/>
      <w:lvlJc w:val="left"/>
      <w:pPr>
        <w:ind w:left="6628" w:hanging="360"/>
      </w:pPr>
      <w:rPr>
        <w:rFonts w:ascii="Courier New" w:hAnsi="Courier New" w:cs="Courier New" w:hint="default"/>
      </w:rPr>
    </w:lvl>
    <w:lvl w:ilvl="5" w:tentative="1">
      <w:start w:val="1"/>
      <w:numFmt w:val="bullet"/>
      <w:lvlText w:val=""/>
      <w:lvlJc w:val="left"/>
      <w:pPr>
        <w:ind w:left="7348" w:hanging="360"/>
      </w:pPr>
      <w:rPr>
        <w:rFonts w:ascii="Wingdings" w:hAnsi="Wingdings" w:hint="default"/>
      </w:rPr>
    </w:lvl>
    <w:lvl w:ilvl="6" w:tentative="1">
      <w:start w:val="1"/>
      <w:numFmt w:val="bullet"/>
      <w:lvlText w:val=""/>
      <w:lvlJc w:val="left"/>
      <w:pPr>
        <w:ind w:left="8068" w:hanging="360"/>
      </w:pPr>
      <w:rPr>
        <w:rFonts w:ascii="Symbol" w:hAnsi="Symbol" w:hint="default"/>
      </w:rPr>
    </w:lvl>
    <w:lvl w:ilvl="7" w:tentative="1">
      <w:start w:val="1"/>
      <w:numFmt w:val="bullet"/>
      <w:lvlText w:val="o"/>
      <w:lvlJc w:val="left"/>
      <w:pPr>
        <w:ind w:left="8788" w:hanging="360"/>
      </w:pPr>
      <w:rPr>
        <w:rFonts w:ascii="Courier New" w:hAnsi="Courier New" w:cs="Courier New" w:hint="default"/>
      </w:rPr>
    </w:lvl>
    <w:lvl w:ilvl="8"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start w:val="1"/>
      <w:numFmt w:val="bullet"/>
      <w:pStyle w:val="BulletList1"/>
      <w:lvlText w:val="·"/>
      <w:lvlJc w:val="left"/>
      <w:pPr>
        <w:tabs>
          <w:tab w:val="num" w:pos="360"/>
        </w:tabs>
        <w:ind w:left="360" w:hanging="360"/>
      </w:pPr>
      <w:rPr>
        <w:rFonts w:ascii="Symbol" w:hAnsi="Symbol" w:hint="default"/>
        <w:color w:val="000000"/>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start w:val="1"/>
      <w:numFmt w:val="decimal"/>
      <w:lvlText w:val="%1."/>
      <w:lvlJc w:val="left"/>
      <w:pPr>
        <w:ind w:left="1440" w:hanging="360"/>
      </w:pPr>
      <w:rPr>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start w:val="1"/>
      <w:numFmt w:val="bullet"/>
      <w:pStyle w:val="BulletList3"/>
      <w:lvlText w:val=""/>
      <w:lvlJc w:val="left"/>
      <w:pPr>
        <w:tabs>
          <w:tab w:val="num" w:pos="1945"/>
        </w:tabs>
        <w:ind w:left="1945"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B56450"/>
    <w:multiLevelType w:val="multilevel"/>
    <w:tmpl w:val="B5EA651E"/>
    <w:lvl w:ilvl="0">
      <w:start w:val="1"/>
      <w:numFmt w:val="decimal"/>
      <w:pStyle w:val="Schedule"/>
      <w:lvlText w:val="Schedule %1"/>
      <w:lvlJc w:val="left"/>
      <w:pPr>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4"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45" w15:restartNumberingAfterBreak="0">
    <w:nsid w:val="7DB56452"/>
    <w:multiLevelType w:val="multilevel"/>
    <w:tmpl w:val="7DB56451"/>
    <w:numStyleLink w:val="ScheduleListStyle"/>
  </w:abstractNum>
  <w:abstractNum w:abstractNumId="46" w15:restartNumberingAfterBreak="0">
    <w:nsid w:val="7DB56453"/>
    <w:multiLevelType w:val="multilevel"/>
    <w:tmpl w:val="7DB56451"/>
    <w:numStyleLink w:val="ScheduleListStyle"/>
  </w:abstractNum>
  <w:num w:numId="1">
    <w:abstractNumId w:val="36"/>
  </w:num>
  <w:num w:numId="2">
    <w:abstractNumId w:val="37"/>
  </w:num>
  <w:num w:numId="3">
    <w:abstractNumId w:val="22"/>
  </w:num>
  <w:num w:numId="4">
    <w:abstractNumId w:val="42"/>
  </w:num>
  <w:num w:numId="5">
    <w:abstractNumId w:val="39"/>
  </w:num>
  <w:num w:numId="6">
    <w:abstractNumId w:val="16"/>
  </w:num>
  <w:num w:numId="7">
    <w:abstractNumId w:val="24"/>
  </w:num>
  <w:num w:numId="8">
    <w:abstractNumId w:val="40"/>
  </w:num>
  <w:num w:numId="9">
    <w:abstractNumId w:val="23"/>
  </w:num>
  <w:num w:numId="10">
    <w:abstractNumId w:val="20"/>
  </w:num>
  <w:num w:numId="11">
    <w:abstractNumId w:val="32"/>
  </w:num>
  <w:num w:numId="12">
    <w:abstractNumId w:val="15"/>
  </w:num>
  <w:num w:numId="13">
    <w:abstractNumId w:val="19"/>
  </w:num>
  <w:num w:numId="14">
    <w:abstractNumId w:val="18"/>
  </w:num>
  <w:num w:numId="15">
    <w:abstractNumId w:val="31"/>
  </w:num>
  <w:num w:numId="16">
    <w:abstractNumId w:val="34"/>
  </w:num>
  <w:num w:numId="17">
    <w:abstractNumId w:val="25"/>
  </w:num>
  <w:num w:numId="18">
    <w:abstractNumId w:val="30"/>
  </w:num>
  <w:num w:numId="19">
    <w:abstractNumId w:val="28"/>
  </w:num>
  <w:num w:numId="20">
    <w:abstractNumId w:val="29"/>
  </w:num>
  <w:num w:numId="21">
    <w:abstractNumId w:val="27"/>
  </w:num>
  <w:num w:numId="22">
    <w:abstractNumId w:val="21"/>
  </w:num>
  <w:num w:numId="23">
    <w:abstractNumId w:val="35"/>
  </w:num>
  <w:num w:numId="24">
    <w:abstractNumId w:val="11"/>
  </w:num>
  <w:num w:numId="25">
    <w:abstractNumId w:val="3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4"/>
  </w:num>
  <w:num w:numId="40">
    <w:abstractNumId w:val="10"/>
  </w:num>
  <w:num w:numId="41">
    <w:abstractNumId w:val="41"/>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2"/>
  </w:num>
  <w:num w:numId="45">
    <w:abstractNumId w:val="17"/>
  </w:num>
  <w:num w:numId="46">
    <w:abstractNumId w:val="26"/>
  </w:num>
  <w:num w:numId="47">
    <w:abstractNumId w:val="43"/>
  </w:num>
  <w:num w:numId="48">
    <w:abstractNumId w:val="44"/>
  </w:num>
  <w:num w:numId="49">
    <w:abstractNumId w:val="4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FSAuthor1stName" w:val="Tobi"/>
    <w:docVar w:name="FSAuthorEmail" w:val="Tobi.Bello@fieldfisher.com"/>
    <w:docVar w:name="FSAuthorExt" w:val="+44 330 460 6941"/>
    <w:docVar w:name="FSAuthorFax" w:val="+44 207 488 0084"/>
    <w:docVar w:name="FSAuthorLogon" w:val="TB2"/>
    <w:docVar w:name="FSAuthorMobile" w:val="+44 7824 323344"/>
    <w:docVar w:name="FSAuthorOffice" w:val="London"/>
    <w:docVar w:name="FSAuthorSurname" w:val="Bello"/>
    <w:docVar w:name="FSAuthorTitle" w:val="Trainee Legal Executive"/>
    <w:docVar w:name="FSClientNumber" w:val="UK01-2011866"/>
    <w:docVar w:name="FSDocNumber" w:val="106486240"/>
    <w:docVar w:name="FSDocVersion" w:val="1"/>
    <w:docVar w:name="FSMatterNumber" w:val="00002"/>
    <w:docVar w:name="FSTypist" w:val="TB2"/>
    <w:docVar w:name="FSTypistExt" w:val="+44 330 460 6941"/>
    <w:docVar w:name="FSTypistLogon" w:val="TB2"/>
    <w:docVar w:name="gentXMLPartID" w:val="{AB48B0D3-C502-475D-B82B-B4F3F781F939}"/>
    <w:docVar w:name="zTimeOpened" w:val="13-Sep-2022 00:20:48"/>
  </w:docVars>
  <w:rsids>
    <w:rsidRoot w:val="00242505"/>
    <w:rsid w:val="00242505"/>
    <w:rsid w:val="007773A3"/>
    <w:rsid w:val="00EB62D3"/>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841D6"/>
  <w15:chartTrackingRefBased/>
  <w15:docId w15:val="{0073E216-C313-444A-8B4F-0CBF7238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C77A7"/>
    <w:pPr>
      <w:spacing w:after="200" w:line="240" w:lineRule="atLeast"/>
    </w:pPr>
    <w:rPr>
      <w:rFonts w:ascii="Arial" w:hAnsi="Arial" w:eastAsia="Arial" w:cs="Arial"/>
      <w:color w:val="000000"/>
      <w:sz w:val="22"/>
      <w:szCs w:val="22"/>
    </w:rPr>
  </w:style>
  <w:style w:type="paragraph" w:styleId="Heading1">
    <w:name w:val="heading 1"/>
    <w:basedOn w:val="Normal"/>
    <w:next w:val="Normal"/>
    <w:link w:val="Heading1Char"/>
    <w:uiPriority w:val="9"/>
    <w:qFormat/>
    <w:rsid w:val="001C77A7"/>
    <w:pPr>
      <w:keepNext/>
      <w:keepLines/>
      <w:numPr>
        <w:numId w:val="11"/>
      </w:numPr>
      <w:spacing w:before="480" w:after="0"/>
      <w:outlineLvl w:val="0"/>
    </w:pPr>
    <w:rPr>
      <w:rFonts w:ascii="Cambria" w:hAnsi="Cambria" w:eastAsia="Times New Roman" w:cs="Times New Roman"/>
      <w:b/>
      <w:bCs/>
      <w:sz w:val="28"/>
      <w:szCs w:val="28"/>
    </w:rPr>
  </w:style>
  <w:style w:type="paragraph" w:styleId="Heading2">
    <w:name w:val="heading 2"/>
    <w:basedOn w:val="Normal"/>
    <w:next w:val="Normal"/>
    <w:link w:val="Heading2Char"/>
    <w:uiPriority w:val="9"/>
    <w:qFormat/>
    <w:rsid w:val="001C77A7"/>
    <w:pPr>
      <w:keepNext/>
      <w:keepLines/>
      <w:numPr>
        <w:ilvl w:val="1"/>
        <w:numId w:val="11"/>
      </w:numPr>
      <w:spacing w:before="200" w:after="0"/>
      <w:outlineLvl w:val="1"/>
    </w:pPr>
    <w:rPr>
      <w:rFonts w:ascii="Cambria" w:hAnsi="Cambria" w:eastAsia="Times New Roman" w:cs="Times New Roman"/>
      <w:b/>
      <w:bCs/>
      <w:sz w:val="26"/>
      <w:szCs w:val="26"/>
    </w:rPr>
  </w:style>
  <w:style w:type="paragraph" w:styleId="Heading3">
    <w:name w:val="heading 3"/>
    <w:basedOn w:val="Normal"/>
    <w:next w:val="Normal"/>
    <w:link w:val="Heading3Char"/>
    <w:uiPriority w:val="9"/>
    <w:qFormat/>
    <w:rsid w:val="001C77A7"/>
    <w:pPr>
      <w:keepNext/>
      <w:keepLines/>
      <w:numPr>
        <w:ilvl w:val="2"/>
        <w:numId w:val="11"/>
      </w:numPr>
      <w:spacing w:before="200" w:after="0"/>
      <w:outlineLvl w:val="2"/>
    </w:pPr>
    <w:rPr>
      <w:rFonts w:ascii="Cambria" w:hAnsi="Cambria" w:eastAsia="Times New Roman" w:cs="Times New Roman"/>
      <w:b/>
      <w:bCs/>
    </w:rPr>
  </w:style>
  <w:style w:type="paragraph" w:styleId="Heading4">
    <w:name w:val="heading 4"/>
    <w:basedOn w:val="Normal"/>
    <w:next w:val="Normal"/>
    <w:link w:val="Heading4Char"/>
    <w:uiPriority w:val="9"/>
    <w:qFormat/>
    <w:rsid w:val="001C77A7"/>
    <w:pPr>
      <w:keepNext/>
      <w:keepLines/>
      <w:numPr>
        <w:ilvl w:val="3"/>
        <w:numId w:val="11"/>
      </w:numPr>
      <w:spacing w:before="200" w:after="0"/>
      <w:outlineLvl w:val="3"/>
    </w:pPr>
    <w:rPr>
      <w:rFonts w:ascii="Cambria" w:hAnsi="Cambria" w:eastAsia="Times New Roman" w:cs="Times New Roman"/>
      <w:b/>
      <w:bCs/>
      <w:i/>
      <w:iCs/>
    </w:rPr>
  </w:style>
  <w:style w:type="paragraph" w:styleId="Heading5">
    <w:name w:val="heading 5"/>
    <w:basedOn w:val="Normal"/>
    <w:next w:val="Normal"/>
    <w:link w:val="Heading5Char"/>
    <w:uiPriority w:val="9"/>
    <w:qFormat/>
    <w:rsid w:val="001C77A7"/>
    <w:pPr>
      <w:keepNext/>
      <w:keepLines/>
      <w:numPr>
        <w:ilvl w:val="4"/>
        <w:numId w:val="11"/>
      </w:numPr>
      <w:spacing w:before="200" w:after="0"/>
      <w:outlineLvl w:val="4"/>
    </w:pPr>
    <w:rPr>
      <w:rFonts w:ascii="Cambria" w:hAnsi="Cambria" w:eastAsia="Times New Roman" w:cs="Times New Roman"/>
    </w:rPr>
  </w:style>
  <w:style w:type="paragraph" w:styleId="Heading6">
    <w:name w:val="heading 6"/>
    <w:basedOn w:val="Normal"/>
    <w:next w:val="Normal"/>
    <w:link w:val="Heading6Char"/>
    <w:uiPriority w:val="9"/>
    <w:qFormat/>
    <w:rsid w:val="001C77A7"/>
    <w:pPr>
      <w:keepNext/>
      <w:keepLines/>
      <w:numPr>
        <w:ilvl w:val="5"/>
        <w:numId w:val="11"/>
      </w:numPr>
      <w:spacing w:before="200" w:after="0"/>
      <w:outlineLvl w:val="5"/>
    </w:pPr>
    <w:rPr>
      <w:rFonts w:ascii="Cambria" w:hAnsi="Cambria" w:eastAsia="Times New Roman" w:cs="Times New Roman"/>
      <w:i/>
      <w:iCs/>
    </w:rPr>
  </w:style>
  <w:style w:type="paragraph" w:styleId="Heading7">
    <w:name w:val="heading 7"/>
    <w:basedOn w:val="Normal"/>
    <w:next w:val="Normal"/>
    <w:link w:val="Heading7Char"/>
    <w:uiPriority w:val="9"/>
    <w:qFormat/>
    <w:rsid w:val="001C77A7"/>
    <w:pPr>
      <w:keepNext/>
      <w:keepLines/>
      <w:numPr>
        <w:ilvl w:val="6"/>
        <w:numId w:val="11"/>
      </w:numPr>
      <w:spacing w:before="200" w:after="0"/>
      <w:outlineLvl w:val="6"/>
    </w:pPr>
    <w:rPr>
      <w:rFonts w:ascii="Cambria" w:hAnsi="Cambria" w:eastAsia="Times New Roman" w:cs="Times New Roman"/>
      <w:i/>
      <w:iCs/>
    </w:rPr>
  </w:style>
  <w:style w:type="paragraph" w:styleId="Heading8">
    <w:name w:val="heading 8"/>
    <w:basedOn w:val="Normal"/>
    <w:next w:val="Normal"/>
    <w:link w:val="Heading8Char"/>
    <w:uiPriority w:val="9"/>
    <w:qFormat/>
    <w:rsid w:val="001C77A7"/>
    <w:pPr>
      <w:keepNext/>
      <w:keepLines/>
      <w:numPr>
        <w:ilvl w:val="7"/>
        <w:numId w:val="11"/>
      </w:numPr>
      <w:spacing w:before="200" w:after="0"/>
      <w:outlineLvl w:val="7"/>
    </w:pPr>
    <w:rPr>
      <w:rFonts w:ascii="Cambria" w:hAnsi="Cambria" w:eastAsia="Times New Roman" w:cs="Times New Roman"/>
      <w:sz w:val="20"/>
      <w:szCs w:val="20"/>
    </w:rPr>
  </w:style>
  <w:style w:type="paragraph" w:styleId="Heading9">
    <w:name w:val="heading 9"/>
    <w:basedOn w:val="Normal"/>
    <w:next w:val="Normal"/>
    <w:link w:val="Heading9Char"/>
    <w:uiPriority w:val="9"/>
    <w:qFormat/>
    <w:rsid w:val="001C77A7"/>
    <w:pPr>
      <w:keepNext/>
      <w:keepLines/>
      <w:numPr>
        <w:ilvl w:val="8"/>
        <w:numId w:val="11"/>
      </w:numPr>
      <w:spacing w:before="200" w:after="0"/>
      <w:outlineLvl w:val="8"/>
    </w:pPr>
    <w:rPr>
      <w:rFonts w:ascii="Cambria" w:hAnsi="Cambria" w:eastAsia="Times New Roman" w:cs="Times New Roman"/>
      <w:i/>
      <w:iCs/>
      <w:sz w:val="20"/>
      <w:szCs w:val="20"/>
    </w:rPr>
  </w:style>
  <w:style w:type="character" w:styleId="DefaultParagraphFont" w:default="1">
    <w:name w:val="Default Paragraph Font"/>
    <w:uiPriority w:val="1"/>
    <w:semiHidden/>
    <w:unhideWhenUsed/>
    <w:rsid w:val="001C77A7"/>
    <w:rPr>
      <w:rFonts w:ascii="Arial" w:hAnsi="Arial" w:eastAsia="Arial" w:cs="Arial"/>
      <w:color w:val="000000"/>
    </w:rPr>
  </w:style>
  <w:style w:type="table" w:styleId="TableNormal" w:default="1">
    <w:name w:val="Normal Table"/>
    <w:uiPriority w:val="99"/>
    <w:semiHidden/>
    <w:unhideWhenUsed/>
    <w:rPr>
      <w:color w:val="000000"/>
    </w:rPr>
    <w:tblPr>
      <w:tblInd w:w="0" w:type="dxa"/>
      <w:tblCellMar>
        <w:top w:w="0" w:type="dxa"/>
        <w:left w:w="108" w:type="dxa"/>
        <w:bottom w:w="0" w:type="dxa"/>
        <w:right w:w="108" w:type="dxa"/>
      </w:tblCellMar>
    </w:tblPr>
  </w:style>
  <w:style w:type="numbering" w:styleId="NoList" w:default="1">
    <w:name w:val="No List"/>
    <w:uiPriority w:val="99"/>
    <w:semiHidden/>
    <w:unhideWhenUsed/>
    <w:rsid w:val="001C77A7"/>
  </w:style>
  <w:style w:type="paragraph" w:styleId="Abstract" w:customStyle="1">
    <w:name w:val="Abstract"/>
    <w:link w:val="AbstractChar"/>
    <w:rsid w:val="001C77A7"/>
    <w:pPr>
      <w:spacing w:after="120"/>
    </w:pPr>
    <w:rPr>
      <w:rFonts w:ascii="Arial" w:hAnsi="Arial" w:eastAsia="Arial Unicode MS" w:cs="Arial"/>
      <w:color w:val="000000"/>
      <w:sz w:val="24"/>
      <w:szCs w:val="24"/>
      <w:lang w:val="en-US" w:eastAsia="en-US"/>
    </w:rPr>
  </w:style>
  <w:style w:type="character" w:styleId="AbstractChar" w:customStyle="1">
    <w:name w:val="Abstract Char"/>
    <w:link w:val="Abstract"/>
    <w:rsid w:val="001C77A7"/>
    <w:rPr>
      <w:rFonts w:ascii="Arial" w:hAnsi="Arial" w:eastAsia="Arial Unicode MS" w:cs="Arial"/>
      <w:color w:val="000000"/>
      <w:sz w:val="24"/>
      <w:szCs w:val="24"/>
      <w:lang w:val="en-US" w:eastAsia="en-US"/>
    </w:rPr>
  </w:style>
  <w:style w:type="paragraph" w:styleId="Annex" w:customStyle="1">
    <w:name w:val="Annex"/>
    <w:basedOn w:val="Paragraph"/>
    <w:next w:val="Paragraph"/>
    <w:qFormat/>
    <w:rsid w:val="001C77A7"/>
    <w:pPr>
      <w:numPr>
        <w:numId w:val="13"/>
      </w:numPr>
      <w:spacing w:before="240" w:after="240"/>
      <w:ind w:left="0" w:firstLine="0"/>
    </w:pPr>
    <w:rPr>
      <w:b/>
    </w:rPr>
  </w:style>
  <w:style w:type="paragraph" w:styleId="AuthoringGroup" w:customStyle="1">
    <w:name w:val="Authoring Group"/>
    <w:link w:val="AuthoringGroupChar"/>
    <w:rsid w:val="001C77A7"/>
    <w:pPr>
      <w:spacing w:after="120"/>
    </w:pPr>
    <w:rPr>
      <w:rFonts w:ascii="Arial" w:hAnsi="Arial" w:eastAsia="Arial Unicode MS" w:cs="Arial"/>
      <w:color w:val="000000"/>
      <w:sz w:val="24"/>
      <w:szCs w:val="22"/>
      <w:lang w:val="en-US" w:eastAsia="en-US"/>
    </w:rPr>
  </w:style>
  <w:style w:type="character" w:styleId="AuthoringGroupChar" w:customStyle="1">
    <w:name w:val="Authoring Group Char"/>
    <w:link w:val="AuthoringGroup"/>
    <w:rsid w:val="001C77A7"/>
    <w:rPr>
      <w:rFonts w:ascii="Arial" w:hAnsi="Arial" w:eastAsia="Arial Unicode MS" w:cs="Arial"/>
      <w:color w:val="000000"/>
      <w:sz w:val="24"/>
      <w:lang w:val="en-US" w:eastAsia="en-US"/>
    </w:rPr>
  </w:style>
  <w:style w:type="paragraph" w:styleId="Background" w:customStyle="1">
    <w:name w:val="Background"/>
    <w:aliases w:val="(A) Background"/>
    <w:basedOn w:val="Normal"/>
    <w:rsid w:val="001C77A7"/>
    <w:pPr>
      <w:numPr>
        <w:numId w:val="1"/>
      </w:numPr>
      <w:spacing w:before="120" w:after="120" w:line="300" w:lineRule="atLeast"/>
      <w:jc w:val="both"/>
    </w:pPr>
    <w:rPr>
      <w:rFonts w:eastAsia="Arial Unicode MS"/>
      <w:szCs w:val="20"/>
      <w:lang w:eastAsia="en-US"/>
    </w:rPr>
  </w:style>
  <w:style w:type="paragraph" w:styleId="BulletList1" w:customStyle="1">
    <w:name w:val="Bullet List 1"/>
    <w:aliases w:val="Bullet1"/>
    <w:basedOn w:val="Normal"/>
    <w:rsid w:val="001C77A7"/>
    <w:pPr>
      <w:numPr>
        <w:numId w:val="2"/>
      </w:numPr>
      <w:spacing w:after="240" w:line="300" w:lineRule="atLeast"/>
      <w:jc w:val="both"/>
    </w:pPr>
    <w:rPr>
      <w:rFonts w:eastAsia="Arial Unicode MS"/>
      <w:szCs w:val="20"/>
      <w:lang w:eastAsia="en-US"/>
    </w:rPr>
  </w:style>
  <w:style w:type="paragraph" w:styleId="BulletList2" w:customStyle="1">
    <w:name w:val="Bullet List 2"/>
    <w:aliases w:val="Bullet2"/>
    <w:basedOn w:val="Normal"/>
    <w:rsid w:val="001C77A7"/>
    <w:pPr>
      <w:numPr>
        <w:numId w:val="3"/>
      </w:numPr>
      <w:spacing w:after="120" w:line="240" w:lineRule="auto"/>
      <w:ind w:left="1080" w:hanging="720"/>
      <w:jc w:val="both"/>
    </w:pPr>
    <w:rPr>
      <w:rFonts w:eastAsia="Arial Unicode MS"/>
      <w:szCs w:val="20"/>
      <w:lang w:eastAsia="en-US"/>
    </w:rPr>
  </w:style>
  <w:style w:type="paragraph" w:styleId="BulletList3" w:customStyle="1">
    <w:name w:val="Bullet List 3"/>
    <w:aliases w:val="Bullet3"/>
    <w:basedOn w:val="Normal"/>
    <w:rsid w:val="001C77A7"/>
    <w:pPr>
      <w:numPr>
        <w:numId w:val="4"/>
      </w:numPr>
      <w:spacing w:after="240" w:line="240" w:lineRule="auto"/>
      <w:jc w:val="both"/>
    </w:pPr>
    <w:rPr>
      <w:rFonts w:eastAsia="Arial Unicode MS"/>
      <w:szCs w:val="20"/>
      <w:lang w:eastAsia="en-US"/>
    </w:rPr>
  </w:style>
  <w:style w:type="paragraph" w:styleId="TitleClause" w:customStyle="1">
    <w:name w:val="Title Clause"/>
    <w:basedOn w:val="Normal"/>
    <w:rsid w:val="001C77A7"/>
    <w:pPr>
      <w:keepNext/>
      <w:numPr>
        <w:numId w:val="42"/>
      </w:numPr>
      <w:spacing w:before="240" w:after="240" w:line="300" w:lineRule="atLeast"/>
      <w:jc w:val="both"/>
      <w:outlineLvl w:val="0"/>
    </w:pPr>
    <w:rPr>
      <w:rFonts w:eastAsia="Arial Unicode MS"/>
      <w:b/>
      <w:kern w:val="28"/>
      <w:szCs w:val="20"/>
      <w:lang w:eastAsia="en-US"/>
    </w:rPr>
  </w:style>
  <w:style w:type="paragraph" w:styleId="ClauseNoTitle" w:customStyle="1">
    <w:name w:val="Clause No Title"/>
    <w:basedOn w:val="TitleClause"/>
    <w:rsid w:val="001C77A7"/>
    <w:rPr>
      <w:b w:val="0"/>
      <w:smallCaps/>
    </w:rPr>
  </w:style>
  <w:style w:type="paragraph" w:styleId="ClosingPara" w:customStyle="1">
    <w:name w:val="Closing Para"/>
    <w:basedOn w:val="Normal"/>
    <w:rsid w:val="001C77A7"/>
    <w:pPr>
      <w:spacing w:before="120" w:after="240" w:line="300" w:lineRule="atLeast"/>
      <w:jc w:val="both"/>
    </w:pPr>
    <w:rPr>
      <w:rFonts w:eastAsia="Arial Unicode MS"/>
      <w:szCs w:val="20"/>
      <w:lang w:eastAsia="en-US"/>
    </w:rPr>
  </w:style>
  <w:style w:type="paragraph" w:styleId="ClosingSignOff" w:customStyle="1">
    <w:name w:val="Closing SignOff"/>
    <w:basedOn w:val="Normal"/>
    <w:rsid w:val="001C77A7"/>
    <w:pPr>
      <w:spacing w:after="120" w:line="300" w:lineRule="atLeast"/>
      <w:jc w:val="both"/>
    </w:pPr>
    <w:rPr>
      <w:rFonts w:eastAsia="Arial Unicode MS"/>
      <w:szCs w:val="20"/>
      <w:lang w:eastAsia="en-US"/>
    </w:rPr>
  </w:style>
  <w:style w:type="paragraph" w:styleId="CoversheetTitle" w:customStyle="1">
    <w:name w:val="Coversheet Title"/>
    <w:basedOn w:val="Normal"/>
    <w:autoRedefine/>
    <w:rsid w:val="001C77A7"/>
    <w:pPr>
      <w:spacing w:before="480" w:after="480" w:line="300" w:lineRule="atLeast"/>
      <w:jc w:val="center"/>
    </w:pPr>
    <w:rPr>
      <w:rFonts w:eastAsia="Arial Unicode MS"/>
      <w:b/>
      <w:smallCaps/>
      <w:sz w:val="28"/>
      <w:szCs w:val="20"/>
      <w:lang w:eastAsia="en-US"/>
    </w:rPr>
  </w:style>
  <w:style w:type="paragraph" w:styleId="CoverSheetHeading" w:customStyle="1">
    <w:name w:val="Cover Sheet Heading"/>
    <w:aliases w:val="Coversheet Title2"/>
    <w:basedOn w:val="CoversheetTitle"/>
    <w:rsid w:val="001C77A7"/>
  </w:style>
  <w:style w:type="paragraph" w:styleId="CoverSheetSubjectText" w:customStyle="1">
    <w:name w:val="Cover Sheet Subject Text"/>
    <w:basedOn w:val="Normal"/>
    <w:rsid w:val="001C77A7"/>
    <w:pPr>
      <w:spacing w:after="0" w:line="300" w:lineRule="atLeast"/>
      <w:jc w:val="center"/>
    </w:pPr>
    <w:rPr>
      <w:rFonts w:eastAsia="Arial Unicode MS"/>
      <w:szCs w:val="20"/>
      <w:lang w:eastAsia="en-US"/>
    </w:rPr>
  </w:style>
  <w:style w:type="paragraph" w:styleId="CoverSheetSubjectTitle" w:customStyle="1">
    <w:name w:val="Cover Sheet Subject Title"/>
    <w:basedOn w:val="Normal"/>
    <w:rsid w:val="001C77A7"/>
    <w:pPr>
      <w:spacing w:after="0" w:line="300" w:lineRule="atLeast"/>
      <w:jc w:val="center"/>
    </w:pPr>
    <w:rPr>
      <w:rFonts w:eastAsia="Arial Unicode MS"/>
      <w:szCs w:val="20"/>
      <w:lang w:eastAsia="en-US"/>
    </w:rPr>
  </w:style>
  <w:style w:type="paragraph" w:styleId="DefinedTermPara" w:customStyle="1">
    <w:name w:val="Defined Term Para"/>
    <w:basedOn w:val="Paragraph"/>
    <w:qFormat/>
    <w:rsid w:val="001C77A7"/>
    <w:pPr>
      <w:numPr>
        <w:numId w:val="43"/>
      </w:numPr>
    </w:pPr>
  </w:style>
  <w:style w:type="paragraph" w:styleId="DescriptiveHeading" w:customStyle="1">
    <w:name w:val="DescriptiveHeading"/>
    <w:next w:val="Paragraph"/>
    <w:link w:val="DescriptiveHeadingChar"/>
    <w:rsid w:val="001C77A7"/>
    <w:pPr>
      <w:spacing w:before="360" w:after="360"/>
      <w:outlineLvl w:val="0"/>
    </w:pPr>
    <w:rPr>
      <w:rFonts w:ascii="Arial" w:hAnsi="Arial" w:eastAsia="Arial Unicode MS" w:cs="Arial"/>
      <w:b/>
      <w:color w:val="000000"/>
      <w:sz w:val="22"/>
      <w:szCs w:val="22"/>
      <w:lang w:val="en-US" w:eastAsia="en-US"/>
    </w:rPr>
  </w:style>
  <w:style w:type="character" w:styleId="DescriptiveHeadingChar" w:customStyle="1">
    <w:name w:val="DescriptiveHeading Char"/>
    <w:link w:val="DescriptiveHeading"/>
    <w:rsid w:val="001C77A7"/>
    <w:rPr>
      <w:rFonts w:ascii="Arial" w:hAnsi="Arial" w:eastAsia="Arial Unicode MS" w:cs="Arial"/>
      <w:b/>
      <w:color w:val="000000"/>
      <w:lang w:val="en-US" w:eastAsia="en-US"/>
    </w:rPr>
  </w:style>
  <w:style w:type="paragraph" w:styleId="DraftingnoteSection1Para" w:customStyle="1">
    <w:name w:val="Draftingnote Section1 Para"/>
    <w:basedOn w:val="Normal"/>
    <w:rsid w:val="001C77A7"/>
    <w:pPr>
      <w:spacing w:after="120" w:line="300" w:lineRule="atLeast"/>
      <w:jc w:val="both"/>
    </w:pPr>
    <w:rPr>
      <w:rFonts w:eastAsia="Arial Unicode MS"/>
      <w:szCs w:val="20"/>
      <w:lang w:eastAsia="en-US"/>
    </w:rPr>
  </w:style>
  <w:style w:type="paragraph" w:styleId="DraftingnoteSection1Title" w:customStyle="1">
    <w:name w:val="Draftingnote Section1 Title"/>
    <w:basedOn w:val="Normal"/>
    <w:rsid w:val="001C77A7"/>
    <w:pPr>
      <w:spacing w:after="120" w:line="300" w:lineRule="atLeast"/>
      <w:jc w:val="both"/>
    </w:pPr>
    <w:rPr>
      <w:rFonts w:eastAsia="Arial Unicode MS"/>
      <w:b/>
      <w:sz w:val="36"/>
      <w:szCs w:val="20"/>
      <w:lang w:eastAsia="en-US"/>
    </w:rPr>
  </w:style>
  <w:style w:type="paragraph" w:styleId="DraftingnoteSection2Para" w:customStyle="1">
    <w:name w:val="Draftingnote Section2 Para"/>
    <w:basedOn w:val="Normal"/>
    <w:rsid w:val="001C77A7"/>
    <w:pPr>
      <w:spacing w:after="120" w:line="300" w:lineRule="atLeast"/>
      <w:jc w:val="both"/>
    </w:pPr>
    <w:rPr>
      <w:rFonts w:eastAsia="Arial Unicode MS"/>
      <w:szCs w:val="20"/>
      <w:lang w:eastAsia="en-US"/>
    </w:rPr>
  </w:style>
  <w:style w:type="paragraph" w:styleId="DraftingnoteSection2Title" w:customStyle="1">
    <w:name w:val="Draftingnote Section2 Title"/>
    <w:basedOn w:val="Normal"/>
    <w:rsid w:val="001C77A7"/>
    <w:pPr>
      <w:spacing w:after="120" w:line="300" w:lineRule="atLeast"/>
      <w:jc w:val="both"/>
    </w:pPr>
    <w:rPr>
      <w:rFonts w:eastAsia="Arial Unicode MS"/>
      <w:b/>
      <w:sz w:val="28"/>
      <w:szCs w:val="20"/>
      <w:lang w:eastAsia="en-US"/>
    </w:rPr>
  </w:style>
  <w:style w:type="paragraph" w:styleId="DraftingnoteSection3Para" w:customStyle="1">
    <w:name w:val="Draftingnote Section3 Para"/>
    <w:basedOn w:val="Normal"/>
    <w:rsid w:val="001C77A7"/>
    <w:pPr>
      <w:spacing w:after="120" w:line="300" w:lineRule="atLeast"/>
      <w:jc w:val="both"/>
    </w:pPr>
    <w:rPr>
      <w:rFonts w:eastAsia="Arial Unicode MS"/>
      <w:szCs w:val="20"/>
      <w:lang w:eastAsia="en-US"/>
    </w:rPr>
  </w:style>
  <w:style w:type="paragraph" w:styleId="DraftingnoteSection3Title" w:customStyle="1">
    <w:name w:val="Draftingnote Section3 Title"/>
    <w:basedOn w:val="Normal"/>
    <w:rsid w:val="001C77A7"/>
    <w:pPr>
      <w:spacing w:after="120" w:line="300" w:lineRule="atLeast"/>
      <w:jc w:val="both"/>
    </w:pPr>
    <w:rPr>
      <w:rFonts w:eastAsia="Arial Unicode MS"/>
      <w:b/>
      <w:i/>
      <w:sz w:val="28"/>
      <w:szCs w:val="20"/>
      <w:lang w:eastAsia="en-US"/>
    </w:rPr>
  </w:style>
  <w:style w:type="paragraph" w:styleId="DraftingnoteSection4Para" w:customStyle="1">
    <w:name w:val="Draftingnote Section4 Para"/>
    <w:basedOn w:val="Normal"/>
    <w:rsid w:val="001C77A7"/>
    <w:pPr>
      <w:spacing w:after="120" w:line="300" w:lineRule="atLeast"/>
      <w:jc w:val="both"/>
    </w:pPr>
    <w:rPr>
      <w:rFonts w:eastAsia="Arial Unicode MS"/>
      <w:szCs w:val="20"/>
      <w:lang w:eastAsia="en-US"/>
    </w:rPr>
  </w:style>
  <w:style w:type="paragraph" w:styleId="DraftingnoteSection4Title" w:customStyle="1">
    <w:name w:val="Draftingnote Section4 Title"/>
    <w:basedOn w:val="Normal"/>
    <w:rsid w:val="001C77A7"/>
    <w:pPr>
      <w:spacing w:after="120" w:line="300" w:lineRule="atLeast"/>
      <w:jc w:val="both"/>
    </w:pPr>
    <w:rPr>
      <w:rFonts w:eastAsia="Arial Unicode MS"/>
      <w:b/>
      <w:i/>
      <w:sz w:val="28"/>
      <w:szCs w:val="20"/>
      <w:lang w:eastAsia="en-US"/>
    </w:rPr>
  </w:style>
  <w:style w:type="paragraph" w:styleId="DraftingnoteTitle" w:customStyle="1">
    <w:name w:val="Draftingnote Title"/>
    <w:basedOn w:val="Normal"/>
    <w:rsid w:val="001C77A7"/>
    <w:pPr>
      <w:spacing w:after="120" w:line="300" w:lineRule="atLeast"/>
      <w:jc w:val="both"/>
    </w:pPr>
    <w:rPr>
      <w:rFonts w:eastAsia="Arial Unicode MS"/>
      <w:b/>
      <w:sz w:val="28"/>
      <w:szCs w:val="20"/>
      <w:lang w:eastAsia="en-US"/>
    </w:rPr>
  </w:style>
  <w:style w:type="paragraph" w:styleId="FulltextBridgehead" w:customStyle="1">
    <w:name w:val="Fulltext Bridgehead"/>
    <w:basedOn w:val="Normal"/>
    <w:rsid w:val="001C77A7"/>
    <w:pPr>
      <w:spacing w:after="120" w:line="300" w:lineRule="atLeast"/>
      <w:jc w:val="both"/>
    </w:pPr>
    <w:rPr>
      <w:rFonts w:eastAsia="Arial Unicode MS"/>
      <w:b/>
      <w:sz w:val="48"/>
      <w:szCs w:val="20"/>
      <w:lang w:eastAsia="en-US"/>
    </w:rPr>
  </w:style>
  <w:style w:type="paragraph" w:styleId="FulltextSection1Para" w:customStyle="1">
    <w:name w:val="Fulltext Section1 Para"/>
    <w:basedOn w:val="Normal"/>
    <w:rsid w:val="001C77A7"/>
    <w:pPr>
      <w:spacing w:after="120" w:line="300" w:lineRule="atLeast"/>
      <w:jc w:val="both"/>
    </w:pPr>
    <w:rPr>
      <w:rFonts w:eastAsia="Arial Unicode MS"/>
      <w:szCs w:val="20"/>
      <w:lang w:eastAsia="en-US"/>
    </w:rPr>
  </w:style>
  <w:style w:type="paragraph" w:styleId="FulltextSection1Title" w:customStyle="1">
    <w:name w:val="Fulltext Section1 Title"/>
    <w:basedOn w:val="Normal"/>
    <w:rsid w:val="001C77A7"/>
    <w:pPr>
      <w:spacing w:after="120" w:line="300" w:lineRule="atLeast"/>
      <w:jc w:val="both"/>
    </w:pPr>
    <w:rPr>
      <w:rFonts w:eastAsia="Arial Unicode MS"/>
      <w:b/>
      <w:sz w:val="36"/>
      <w:szCs w:val="20"/>
      <w:lang w:eastAsia="en-US"/>
    </w:rPr>
  </w:style>
  <w:style w:type="paragraph" w:styleId="FulltextSection2Para" w:customStyle="1">
    <w:name w:val="Fulltext Section2 Para"/>
    <w:basedOn w:val="Normal"/>
    <w:rsid w:val="001C77A7"/>
    <w:pPr>
      <w:spacing w:after="120" w:line="300" w:lineRule="atLeast"/>
      <w:jc w:val="both"/>
    </w:pPr>
    <w:rPr>
      <w:rFonts w:eastAsia="Arial Unicode MS"/>
      <w:szCs w:val="20"/>
      <w:lang w:eastAsia="en-US"/>
    </w:rPr>
  </w:style>
  <w:style w:type="paragraph" w:styleId="FulltextSection2Title" w:customStyle="1">
    <w:name w:val="Fulltext Section2 Title"/>
    <w:basedOn w:val="Normal"/>
    <w:rsid w:val="001C77A7"/>
    <w:pPr>
      <w:spacing w:after="120" w:line="300" w:lineRule="atLeast"/>
      <w:jc w:val="both"/>
    </w:pPr>
    <w:rPr>
      <w:rFonts w:eastAsia="Arial Unicode MS"/>
      <w:b/>
      <w:sz w:val="28"/>
      <w:szCs w:val="20"/>
      <w:lang w:eastAsia="en-US"/>
    </w:rPr>
  </w:style>
  <w:style w:type="paragraph" w:styleId="FulltextSection3Para" w:customStyle="1">
    <w:name w:val="Fulltext Section3 Para"/>
    <w:basedOn w:val="Normal"/>
    <w:rsid w:val="001C77A7"/>
    <w:pPr>
      <w:spacing w:after="120" w:line="300" w:lineRule="atLeast"/>
      <w:jc w:val="both"/>
    </w:pPr>
    <w:rPr>
      <w:rFonts w:eastAsia="Arial Unicode MS"/>
      <w:szCs w:val="20"/>
      <w:lang w:eastAsia="en-US"/>
    </w:rPr>
  </w:style>
  <w:style w:type="paragraph" w:styleId="FulltextSection3Title" w:customStyle="1">
    <w:name w:val="Fulltext Section3 Title"/>
    <w:basedOn w:val="Normal"/>
    <w:rsid w:val="001C77A7"/>
    <w:pPr>
      <w:spacing w:after="120" w:line="300" w:lineRule="atLeast"/>
      <w:jc w:val="both"/>
    </w:pPr>
    <w:rPr>
      <w:rFonts w:eastAsia="Arial Unicode MS"/>
      <w:b/>
      <w:i/>
      <w:sz w:val="28"/>
      <w:szCs w:val="20"/>
      <w:lang w:eastAsia="en-US"/>
    </w:rPr>
  </w:style>
  <w:style w:type="paragraph" w:styleId="FulltextSection4Para" w:customStyle="1">
    <w:name w:val="Fulltext Section4 Para"/>
    <w:basedOn w:val="Normal"/>
    <w:rsid w:val="001C77A7"/>
    <w:pPr>
      <w:spacing w:after="120" w:line="300" w:lineRule="atLeast"/>
      <w:jc w:val="both"/>
    </w:pPr>
    <w:rPr>
      <w:rFonts w:eastAsia="Arial Unicode MS"/>
      <w:szCs w:val="20"/>
      <w:lang w:eastAsia="en-US"/>
    </w:rPr>
  </w:style>
  <w:style w:type="paragraph" w:styleId="FulltextSection4Title" w:customStyle="1">
    <w:name w:val="Fulltext Section4 Title"/>
    <w:basedOn w:val="Normal"/>
    <w:rsid w:val="001C77A7"/>
    <w:pPr>
      <w:spacing w:after="120" w:line="300" w:lineRule="atLeast"/>
      <w:jc w:val="both"/>
    </w:pPr>
    <w:rPr>
      <w:rFonts w:eastAsia="Arial Unicode MS"/>
      <w:b/>
      <w:i/>
      <w:sz w:val="28"/>
      <w:szCs w:val="20"/>
      <w:lang w:eastAsia="en-US"/>
    </w:rPr>
  </w:style>
  <w:style w:type="paragraph" w:styleId="GlossItemGlossdefPara" w:customStyle="1">
    <w:name w:val="GlossItem Glossdef Para"/>
    <w:basedOn w:val="Normal"/>
    <w:rsid w:val="001C77A7"/>
    <w:pPr>
      <w:spacing w:after="120" w:line="300" w:lineRule="atLeast"/>
      <w:jc w:val="both"/>
    </w:pPr>
    <w:rPr>
      <w:rFonts w:eastAsia="Arial Unicode MS"/>
      <w:szCs w:val="20"/>
      <w:lang w:eastAsia="en-US"/>
    </w:rPr>
  </w:style>
  <w:style w:type="paragraph" w:styleId="GlossItemGlossterm" w:customStyle="1">
    <w:name w:val="GlossItem Glossterm"/>
    <w:basedOn w:val="Normal"/>
    <w:rsid w:val="001C77A7"/>
    <w:pPr>
      <w:spacing w:after="120" w:line="300" w:lineRule="atLeast"/>
      <w:jc w:val="both"/>
    </w:pPr>
    <w:rPr>
      <w:rFonts w:eastAsia="Arial Unicode MS"/>
      <w:b/>
      <w:sz w:val="48"/>
      <w:szCs w:val="20"/>
      <w:lang w:eastAsia="en-US"/>
    </w:rPr>
  </w:style>
  <w:style w:type="paragraph" w:styleId="HeadingAddressLine" w:customStyle="1">
    <w:name w:val="Heading Address Line"/>
    <w:basedOn w:val="Normal"/>
    <w:rsid w:val="001C77A7"/>
    <w:pPr>
      <w:spacing w:after="120" w:line="300" w:lineRule="atLeast"/>
      <w:jc w:val="both"/>
    </w:pPr>
    <w:rPr>
      <w:rFonts w:eastAsia="Arial Unicode MS"/>
      <w:szCs w:val="20"/>
      <w:lang w:eastAsia="en-US"/>
    </w:rPr>
  </w:style>
  <w:style w:type="paragraph" w:styleId="HeadingDate" w:customStyle="1">
    <w:name w:val="Heading Date"/>
    <w:basedOn w:val="Normal"/>
    <w:rsid w:val="001C77A7"/>
    <w:pPr>
      <w:spacing w:after="120" w:line="300" w:lineRule="atLeast"/>
      <w:jc w:val="both"/>
    </w:pPr>
    <w:rPr>
      <w:rFonts w:eastAsia="Arial Unicode MS"/>
      <w:szCs w:val="20"/>
      <w:lang w:eastAsia="en-US"/>
    </w:rPr>
  </w:style>
  <w:style w:type="paragraph" w:styleId="HeadingLetterheadBasedOnAttribute" w:customStyle="1">
    <w:name w:val="Heading Letterhead Based On Attribute"/>
    <w:basedOn w:val="Normal"/>
    <w:rsid w:val="001C77A7"/>
    <w:pPr>
      <w:spacing w:after="120" w:line="300" w:lineRule="atLeast"/>
      <w:jc w:val="both"/>
    </w:pPr>
    <w:rPr>
      <w:rFonts w:eastAsia="Arial Unicode MS"/>
      <w:szCs w:val="20"/>
      <w:lang w:eastAsia="en-US"/>
    </w:rPr>
  </w:style>
  <w:style w:type="paragraph" w:styleId="HeadingSalutation" w:customStyle="1">
    <w:name w:val="Heading Salutation"/>
    <w:basedOn w:val="Normal"/>
    <w:rsid w:val="001C77A7"/>
    <w:pPr>
      <w:spacing w:after="120" w:line="300" w:lineRule="atLeast"/>
      <w:jc w:val="both"/>
    </w:pPr>
    <w:rPr>
      <w:rFonts w:eastAsia="Arial Unicode MS"/>
      <w:szCs w:val="20"/>
      <w:lang w:eastAsia="en-US"/>
    </w:rPr>
  </w:style>
  <w:style w:type="paragraph" w:styleId="IgnoredSpacing" w:customStyle="1">
    <w:name w:val="Ignored Spacing"/>
    <w:link w:val="IgnoredSpacingChar"/>
    <w:rsid w:val="001C77A7"/>
    <w:pPr>
      <w:spacing w:after="120"/>
    </w:pPr>
    <w:rPr>
      <w:rFonts w:ascii="Arial" w:hAnsi="Arial" w:eastAsia="Arial Unicode MS" w:cs="Arial"/>
      <w:color w:val="000000"/>
      <w:sz w:val="24"/>
      <w:szCs w:val="24"/>
      <w:lang w:val="en-US" w:eastAsia="en-US"/>
    </w:rPr>
  </w:style>
  <w:style w:type="character" w:styleId="IgnoredSpacingChar" w:customStyle="1">
    <w:name w:val="Ignored Spacing Char"/>
    <w:link w:val="IgnoredSpacing"/>
    <w:rsid w:val="001C77A7"/>
    <w:rPr>
      <w:rFonts w:ascii="Arial" w:hAnsi="Arial" w:eastAsia="Arial Unicode MS" w:cs="Arial"/>
      <w:color w:val="000000"/>
      <w:sz w:val="24"/>
      <w:szCs w:val="24"/>
      <w:lang w:val="en-US" w:eastAsia="en-US"/>
    </w:rPr>
  </w:style>
  <w:style w:type="paragraph" w:styleId="InternalAuthor" w:customStyle="1">
    <w:name w:val="Internal Author"/>
    <w:link w:val="InternalAuthorChar"/>
    <w:rsid w:val="001C77A7"/>
    <w:pPr>
      <w:spacing w:after="120"/>
    </w:pPr>
    <w:rPr>
      <w:rFonts w:ascii="Arial" w:hAnsi="Arial" w:eastAsia="Arial Unicode MS" w:cs="Arial"/>
      <w:color w:val="000000"/>
      <w:sz w:val="24"/>
      <w:szCs w:val="22"/>
      <w:lang w:val="en-US" w:eastAsia="en-US"/>
    </w:rPr>
  </w:style>
  <w:style w:type="character" w:styleId="InternalAuthorChar" w:customStyle="1">
    <w:name w:val="Internal Author Char"/>
    <w:link w:val="InternalAuthor"/>
    <w:rsid w:val="001C77A7"/>
    <w:rPr>
      <w:rFonts w:ascii="Arial" w:hAnsi="Arial" w:eastAsia="Arial Unicode MS" w:cs="Arial"/>
      <w:color w:val="000000"/>
      <w:sz w:val="24"/>
      <w:lang w:val="en-US" w:eastAsia="en-US"/>
    </w:rPr>
  </w:style>
  <w:style w:type="paragraph" w:styleId="MaintenanceEditor" w:customStyle="1">
    <w:name w:val="Maintenance Editor"/>
    <w:link w:val="MaintenanceEditorChar"/>
    <w:rsid w:val="001C77A7"/>
    <w:pPr>
      <w:spacing w:after="120"/>
    </w:pPr>
    <w:rPr>
      <w:rFonts w:ascii="Arial" w:hAnsi="Arial" w:eastAsia="Arial Unicode MS" w:cs="Arial"/>
      <w:color w:val="000000"/>
      <w:sz w:val="24"/>
      <w:szCs w:val="22"/>
      <w:lang w:val="en-US" w:eastAsia="en-US"/>
    </w:rPr>
  </w:style>
  <w:style w:type="character" w:styleId="MaintenanceEditorChar" w:customStyle="1">
    <w:name w:val="Maintenance Editor Char"/>
    <w:link w:val="MaintenanceEditor"/>
    <w:rsid w:val="001C77A7"/>
    <w:rPr>
      <w:rFonts w:ascii="Arial" w:hAnsi="Arial" w:eastAsia="Arial Unicode MS" w:cs="Arial"/>
      <w:color w:val="000000"/>
      <w:sz w:val="24"/>
      <w:lang w:val="en-US" w:eastAsia="en-US"/>
    </w:rPr>
  </w:style>
  <w:style w:type="paragraph" w:styleId="ParaClause" w:customStyle="1">
    <w:name w:val="Para Clause"/>
    <w:basedOn w:val="Normal"/>
    <w:rsid w:val="001C77A7"/>
    <w:pPr>
      <w:spacing w:before="120" w:after="120" w:line="300" w:lineRule="atLeast"/>
      <w:ind w:left="720"/>
      <w:jc w:val="both"/>
    </w:pPr>
    <w:rPr>
      <w:rFonts w:eastAsia="Arial Unicode MS"/>
      <w:szCs w:val="20"/>
      <w:lang w:eastAsia="en-US"/>
    </w:rPr>
  </w:style>
  <w:style w:type="paragraph" w:styleId="Parasubclause1" w:customStyle="1">
    <w:name w:val="Para subclause 1"/>
    <w:aliases w:val="BIWS Heading 2"/>
    <w:basedOn w:val="Normal"/>
    <w:rsid w:val="001C77A7"/>
    <w:pPr>
      <w:spacing w:before="240" w:after="120" w:line="300" w:lineRule="atLeast"/>
      <w:ind w:left="720"/>
      <w:jc w:val="both"/>
    </w:pPr>
    <w:rPr>
      <w:rFonts w:eastAsia="Arial Unicode MS"/>
      <w:szCs w:val="20"/>
      <w:lang w:eastAsia="en-US"/>
    </w:rPr>
  </w:style>
  <w:style w:type="paragraph" w:styleId="Untitledsubclause1" w:customStyle="1">
    <w:name w:val="Untitled subclause 1"/>
    <w:basedOn w:val="Normal"/>
    <w:rsid w:val="001C77A7"/>
    <w:pPr>
      <w:numPr>
        <w:ilvl w:val="1"/>
        <w:numId w:val="42"/>
      </w:numPr>
      <w:spacing w:before="280" w:after="120" w:line="300" w:lineRule="atLeast"/>
      <w:jc w:val="both"/>
      <w:outlineLvl w:val="1"/>
    </w:pPr>
    <w:rPr>
      <w:rFonts w:eastAsia="Arial Unicode MS"/>
      <w:szCs w:val="20"/>
      <w:lang w:eastAsia="en-US"/>
    </w:rPr>
  </w:style>
  <w:style w:type="paragraph" w:styleId="Parasubclause2" w:customStyle="1">
    <w:name w:val="Para subclause 2"/>
    <w:aliases w:val="BIWS Heading 3"/>
    <w:basedOn w:val="Normal"/>
    <w:rsid w:val="001C77A7"/>
    <w:pPr>
      <w:spacing w:after="240" w:line="300" w:lineRule="atLeast"/>
      <w:ind w:left="1559"/>
      <w:jc w:val="both"/>
    </w:pPr>
    <w:rPr>
      <w:rFonts w:eastAsia="Arial Unicode MS"/>
      <w:szCs w:val="20"/>
      <w:lang w:eastAsia="en-US"/>
    </w:rPr>
  </w:style>
  <w:style w:type="paragraph" w:styleId="Untitledsubclause2" w:customStyle="1">
    <w:name w:val="Untitled subclause 2"/>
    <w:basedOn w:val="Normal"/>
    <w:rsid w:val="001C77A7"/>
    <w:pPr>
      <w:numPr>
        <w:ilvl w:val="2"/>
        <w:numId w:val="42"/>
      </w:numPr>
      <w:spacing w:after="120" w:line="300" w:lineRule="atLeast"/>
      <w:jc w:val="both"/>
      <w:outlineLvl w:val="2"/>
    </w:pPr>
    <w:rPr>
      <w:rFonts w:eastAsia="Arial Unicode MS"/>
      <w:szCs w:val="20"/>
      <w:lang w:eastAsia="en-US"/>
    </w:rPr>
  </w:style>
  <w:style w:type="paragraph" w:styleId="Parasubclause3" w:customStyle="1">
    <w:name w:val="Para subclause 3"/>
    <w:aliases w:val="BIWS Heading 4"/>
    <w:basedOn w:val="Normal"/>
    <w:next w:val="Untitledsubclause2"/>
    <w:rsid w:val="001C77A7"/>
    <w:pPr>
      <w:spacing w:after="120" w:line="300" w:lineRule="atLeast"/>
      <w:ind w:left="2268"/>
      <w:jc w:val="both"/>
    </w:pPr>
    <w:rPr>
      <w:rFonts w:eastAsia="Arial Unicode MS"/>
      <w:szCs w:val="20"/>
      <w:lang w:eastAsia="en-US"/>
    </w:rPr>
  </w:style>
  <w:style w:type="paragraph" w:styleId="Untitledsubclause3" w:customStyle="1">
    <w:name w:val="Untitled subclause 3"/>
    <w:basedOn w:val="Normal"/>
    <w:rsid w:val="001C77A7"/>
    <w:pPr>
      <w:numPr>
        <w:ilvl w:val="3"/>
        <w:numId w:val="42"/>
      </w:numPr>
      <w:tabs>
        <w:tab w:val="left" w:pos="2261"/>
      </w:tabs>
      <w:spacing w:after="120" w:line="300" w:lineRule="atLeast"/>
      <w:jc w:val="both"/>
      <w:outlineLvl w:val="3"/>
    </w:pPr>
    <w:rPr>
      <w:rFonts w:eastAsia="Arial Unicode MS"/>
      <w:szCs w:val="20"/>
      <w:lang w:eastAsia="en-US"/>
    </w:rPr>
  </w:style>
  <w:style w:type="paragraph" w:styleId="Parasubclause4" w:customStyle="1">
    <w:name w:val="Para subclause 4"/>
    <w:aliases w:val="BIWS Heading 5"/>
    <w:basedOn w:val="Parasubclause3"/>
    <w:rsid w:val="001C77A7"/>
    <w:pPr>
      <w:spacing w:after="240"/>
      <w:ind w:left="3028"/>
    </w:pPr>
  </w:style>
  <w:style w:type="paragraph" w:styleId="Untitledsubclause4" w:customStyle="1">
    <w:name w:val="Untitled subclause 4"/>
    <w:basedOn w:val="Normal"/>
    <w:rsid w:val="001C77A7"/>
    <w:pPr>
      <w:numPr>
        <w:ilvl w:val="4"/>
        <w:numId w:val="42"/>
      </w:numPr>
      <w:spacing w:after="120" w:line="300" w:lineRule="atLeast"/>
      <w:jc w:val="both"/>
      <w:outlineLvl w:val="4"/>
    </w:pPr>
    <w:rPr>
      <w:rFonts w:eastAsia="Arial Unicode MS"/>
      <w:szCs w:val="20"/>
      <w:lang w:eastAsia="en-US"/>
    </w:rPr>
  </w:style>
  <w:style w:type="paragraph" w:styleId="Para" w:customStyle="1">
    <w:name w:val="Para"/>
    <w:aliases w:val="PLC Style - Normal"/>
    <w:basedOn w:val="Normal"/>
    <w:rsid w:val="001C77A7"/>
    <w:pPr>
      <w:spacing w:after="120" w:line="300" w:lineRule="atLeast"/>
      <w:jc w:val="both"/>
    </w:pPr>
    <w:rPr>
      <w:rFonts w:eastAsia="Arial Unicode MS"/>
      <w:szCs w:val="20"/>
      <w:lang w:eastAsia="en-US"/>
    </w:rPr>
  </w:style>
  <w:style w:type="paragraph" w:styleId="Parties" w:customStyle="1">
    <w:name w:val="Parties"/>
    <w:aliases w:val="(1) Parties"/>
    <w:basedOn w:val="Normal"/>
    <w:rsid w:val="001C77A7"/>
    <w:pPr>
      <w:numPr>
        <w:numId w:val="5"/>
      </w:numPr>
      <w:spacing w:before="120" w:after="120" w:line="300" w:lineRule="atLeast"/>
      <w:jc w:val="both"/>
    </w:pPr>
    <w:rPr>
      <w:rFonts w:eastAsia="Arial Unicode MS"/>
      <w:szCs w:val="20"/>
      <w:lang w:eastAsia="en-US"/>
    </w:rPr>
  </w:style>
  <w:style w:type="paragraph" w:styleId="ResourceHistoryAuthor" w:customStyle="1">
    <w:name w:val="Resource History Author"/>
    <w:link w:val="ResourceHistoryAuthorChar"/>
    <w:rsid w:val="001C77A7"/>
    <w:pPr>
      <w:spacing w:after="120"/>
    </w:pPr>
    <w:rPr>
      <w:rFonts w:ascii="Arial" w:hAnsi="Arial" w:eastAsia="Arial Unicode MS" w:cs="Arial"/>
      <w:color w:val="000000"/>
      <w:sz w:val="24"/>
      <w:szCs w:val="24"/>
      <w:lang w:val="en-US" w:eastAsia="en-US"/>
    </w:rPr>
  </w:style>
  <w:style w:type="character" w:styleId="ResourceHistoryAuthorChar" w:customStyle="1">
    <w:name w:val="Resource History Author Char"/>
    <w:link w:val="ResourceHistoryAuthor"/>
    <w:rsid w:val="001C77A7"/>
    <w:rPr>
      <w:rFonts w:ascii="Arial" w:hAnsi="Arial" w:eastAsia="Arial Unicode MS" w:cs="Arial"/>
      <w:color w:val="000000"/>
      <w:sz w:val="24"/>
      <w:szCs w:val="24"/>
      <w:lang w:val="en-US" w:eastAsia="en-US"/>
    </w:rPr>
  </w:style>
  <w:style w:type="paragraph" w:styleId="ResourceHistoryDate" w:customStyle="1">
    <w:name w:val="Resource History Date"/>
    <w:link w:val="ResourceHistoryDateChar"/>
    <w:rsid w:val="001C77A7"/>
    <w:pPr>
      <w:spacing w:after="120"/>
    </w:pPr>
    <w:rPr>
      <w:rFonts w:ascii="Arial" w:hAnsi="Arial" w:eastAsia="Arial Unicode MS" w:cs="Arial"/>
      <w:color w:val="000000"/>
      <w:sz w:val="24"/>
      <w:szCs w:val="24"/>
      <w:lang w:val="en-US" w:eastAsia="en-US"/>
    </w:rPr>
  </w:style>
  <w:style w:type="character" w:styleId="ResourceHistoryDateChar" w:customStyle="1">
    <w:name w:val="Resource History Date Char"/>
    <w:link w:val="ResourceHistoryDate"/>
    <w:rsid w:val="001C77A7"/>
    <w:rPr>
      <w:rFonts w:ascii="Arial" w:hAnsi="Arial" w:eastAsia="Arial Unicode MS" w:cs="Arial"/>
      <w:color w:val="000000"/>
      <w:sz w:val="24"/>
      <w:szCs w:val="24"/>
      <w:lang w:val="en-US" w:eastAsia="en-US"/>
    </w:rPr>
  </w:style>
  <w:style w:type="paragraph" w:styleId="ResourceHistoryDesc" w:customStyle="1">
    <w:name w:val="Resource History Desc"/>
    <w:link w:val="ResourceHistoryDescChar"/>
    <w:rsid w:val="001C77A7"/>
    <w:pPr>
      <w:spacing w:after="120"/>
    </w:pPr>
    <w:rPr>
      <w:rFonts w:ascii="Verdana" w:hAnsi="Verdana" w:cs="Verdana"/>
      <w:color w:val="000000"/>
      <w:sz w:val="18"/>
      <w:szCs w:val="24"/>
      <w:lang w:val="en-US" w:eastAsia="en-US"/>
    </w:rPr>
  </w:style>
  <w:style w:type="character" w:styleId="ResourceHistoryDescChar" w:customStyle="1">
    <w:name w:val="Resource History Desc Char"/>
    <w:link w:val="ResourceHistoryDesc"/>
    <w:rsid w:val="001C77A7"/>
    <w:rPr>
      <w:rFonts w:ascii="Verdana" w:hAnsi="Verdana" w:eastAsia="Times New Roman" w:cs="Verdana"/>
      <w:color w:val="000000"/>
      <w:sz w:val="18"/>
      <w:szCs w:val="24"/>
      <w:lang w:val="en-US" w:eastAsia="en-US"/>
    </w:rPr>
  </w:style>
  <w:style w:type="paragraph" w:styleId="ResourceHistoryTitle" w:customStyle="1">
    <w:name w:val="Resource History Title"/>
    <w:link w:val="ResourceHistoryTitleChar"/>
    <w:rsid w:val="001C77A7"/>
    <w:pPr>
      <w:spacing w:after="120"/>
    </w:pPr>
    <w:rPr>
      <w:rFonts w:ascii="Arial" w:hAnsi="Arial" w:eastAsia="Arial Unicode MS" w:cs="Arial"/>
      <w:b/>
      <w:bCs/>
      <w:color w:val="000000"/>
      <w:sz w:val="24"/>
      <w:szCs w:val="22"/>
      <w:lang w:val="en-US" w:eastAsia="en-US"/>
    </w:rPr>
  </w:style>
  <w:style w:type="character" w:styleId="ResourceHistoryTitleChar" w:customStyle="1">
    <w:name w:val="Resource History Title Char"/>
    <w:link w:val="ResourceHistoryTitle"/>
    <w:rsid w:val="001C77A7"/>
    <w:rPr>
      <w:rFonts w:ascii="Arial" w:hAnsi="Arial" w:eastAsia="Arial Unicode MS" w:cs="Arial"/>
      <w:b/>
      <w:bCs/>
      <w:color w:val="000000"/>
      <w:sz w:val="24"/>
      <w:lang w:val="en-US" w:eastAsia="en-US"/>
    </w:rPr>
  </w:style>
  <w:style w:type="paragraph" w:styleId="ResourceType" w:customStyle="1">
    <w:name w:val="Resource Type"/>
    <w:link w:val="ResourceTypeChar"/>
    <w:rsid w:val="001C77A7"/>
    <w:pPr>
      <w:spacing w:after="120"/>
    </w:pPr>
    <w:rPr>
      <w:rFonts w:ascii="Arial" w:hAnsi="Arial" w:eastAsia="Arial Unicode MS" w:cs="Arial"/>
      <w:color w:val="000000"/>
      <w:sz w:val="24"/>
      <w:szCs w:val="24"/>
      <w:lang w:val="en-US" w:eastAsia="en-US"/>
    </w:rPr>
  </w:style>
  <w:style w:type="character" w:styleId="ResourceTypeChar" w:customStyle="1">
    <w:name w:val="Resource Type Char"/>
    <w:link w:val="ResourceType"/>
    <w:rsid w:val="001C77A7"/>
    <w:rPr>
      <w:rFonts w:ascii="Arial" w:hAnsi="Arial" w:eastAsia="Arial Unicode MS" w:cs="Arial"/>
      <w:color w:val="000000"/>
      <w:sz w:val="24"/>
      <w:szCs w:val="24"/>
      <w:lang w:val="en-US" w:eastAsia="en-US"/>
    </w:rPr>
  </w:style>
  <w:style w:type="paragraph" w:styleId="ScheduleHeading-Single" w:customStyle="1">
    <w:name w:val="Schedule Heading - Single"/>
    <w:aliases w:val="Sch   main head inc single"/>
    <w:basedOn w:val="Normal"/>
    <w:next w:val="Normal"/>
    <w:rsid w:val="001C77A7"/>
    <w:pPr>
      <w:numPr>
        <w:numId w:val="6"/>
      </w:numPr>
      <w:spacing w:before="240" w:after="360" w:line="300" w:lineRule="atLeast"/>
      <w:jc w:val="both"/>
    </w:pPr>
    <w:rPr>
      <w:rFonts w:eastAsia="Arial Unicode MS"/>
      <w:b/>
      <w:kern w:val="28"/>
      <w:szCs w:val="20"/>
      <w:lang w:eastAsia="en-US"/>
    </w:rPr>
  </w:style>
  <w:style w:type="paragraph" w:styleId="ScheduleHeading" w:customStyle="1">
    <w:name w:val="Schedule Heading"/>
    <w:aliases w:val="Sch   main head"/>
    <w:basedOn w:val="Normal"/>
    <w:next w:val="Normal"/>
    <w:autoRedefine/>
    <w:rsid w:val="001C77A7"/>
    <w:pPr>
      <w:keepNext/>
      <w:pageBreakBefore/>
      <w:numPr>
        <w:numId w:val="7"/>
      </w:numPr>
      <w:spacing w:before="240" w:after="360" w:line="300" w:lineRule="atLeast"/>
      <w:jc w:val="center"/>
      <w:outlineLvl w:val="0"/>
    </w:pPr>
    <w:rPr>
      <w:rFonts w:eastAsia="Arial Unicode MS"/>
      <w:b/>
      <w:kern w:val="28"/>
      <w:szCs w:val="20"/>
      <w:lang w:eastAsia="en-US"/>
    </w:rPr>
  </w:style>
  <w:style w:type="paragraph" w:styleId="SectionHeading" w:customStyle="1">
    <w:name w:val="Section Heading"/>
    <w:aliases w:val="1stIntroHeadings"/>
    <w:basedOn w:val="Normal"/>
    <w:next w:val="Normal"/>
    <w:rsid w:val="001C77A7"/>
    <w:pPr>
      <w:tabs>
        <w:tab w:val="left" w:pos="709"/>
      </w:tabs>
      <w:spacing w:before="120" w:after="120" w:line="300" w:lineRule="atLeast"/>
      <w:jc w:val="both"/>
    </w:pPr>
    <w:rPr>
      <w:rFonts w:eastAsia="Arial Unicode MS"/>
      <w:b/>
      <w:smallCaps/>
      <w:sz w:val="24"/>
      <w:szCs w:val="20"/>
      <w:lang w:eastAsia="en-US"/>
    </w:rPr>
  </w:style>
  <w:style w:type="paragraph" w:styleId="Shortquestion" w:customStyle="1">
    <w:name w:val="Shortquestion"/>
    <w:basedOn w:val="Normal"/>
    <w:rsid w:val="001C77A7"/>
    <w:pPr>
      <w:spacing w:after="120" w:line="300" w:lineRule="atLeast"/>
      <w:jc w:val="both"/>
    </w:pPr>
    <w:rPr>
      <w:rFonts w:eastAsia="Arial Unicode MS"/>
      <w:szCs w:val="20"/>
      <w:lang w:eastAsia="en-US"/>
    </w:rPr>
  </w:style>
  <w:style w:type="paragraph" w:styleId="SpeedreadPara" w:customStyle="1">
    <w:name w:val="Speedread Para"/>
    <w:basedOn w:val="Normal"/>
    <w:rsid w:val="001C77A7"/>
    <w:pPr>
      <w:spacing w:after="120" w:line="300" w:lineRule="atLeast"/>
      <w:jc w:val="both"/>
    </w:pPr>
    <w:rPr>
      <w:rFonts w:eastAsia="Arial Unicode MS"/>
      <w:szCs w:val="20"/>
      <w:lang w:eastAsia="en-US"/>
    </w:rPr>
  </w:style>
  <w:style w:type="paragraph" w:styleId="SpeedreadSection1Para" w:customStyle="1">
    <w:name w:val="Speedread Section1 Para"/>
    <w:basedOn w:val="Normal"/>
    <w:rsid w:val="001C77A7"/>
    <w:pPr>
      <w:spacing w:after="120" w:line="300" w:lineRule="atLeast"/>
      <w:jc w:val="both"/>
    </w:pPr>
    <w:rPr>
      <w:rFonts w:eastAsia="Arial Unicode MS"/>
      <w:szCs w:val="20"/>
      <w:lang w:eastAsia="en-US"/>
    </w:rPr>
  </w:style>
  <w:style w:type="paragraph" w:styleId="SpeedreadSection1Text" w:customStyle="1">
    <w:name w:val="Speedread Section1 Text"/>
    <w:basedOn w:val="Normal"/>
    <w:rsid w:val="001C77A7"/>
    <w:pPr>
      <w:spacing w:after="120" w:line="300" w:lineRule="atLeast"/>
      <w:jc w:val="both"/>
    </w:pPr>
    <w:rPr>
      <w:rFonts w:eastAsia="Arial Unicode MS"/>
      <w:szCs w:val="20"/>
      <w:lang w:eastAsia="en-US"/>
    </w:rPr>
  </w:style>
  <w:style w:type="paragraph" w:styleId="SpeedreadText" w:customStyle="1">
    <w:name w:val="Speedread Text"/>
    <w:basedOn w:val="Normal"/>
    <w:rsid w:val="001C77A7"/>
    <w:pPr>
      <w:spacing w:after="120" w:line="300" w:lineRule="atLeast"/>
      <w:jc w:val="both"/>
    </w:pPr>
    <w:rPr>
      <w:rFonts w:eastAsia="Arial Unicode MS"/>
      <w:szCs w:val="20"/>
      <w:lang w:eastAsia="en-US"/>
    </w:rPr>
  </w:style>
  <w:style w:type="paragraph" w:styleId="SpeedreadTitle" w:customStyle="1">
    <w:name w:val="Speedread Title"/>
    <w:basedOn w:val="Normal"/>
    <w:rsid w:val="001C77A7"/>
    <w:pPr>
      <w:spacing w:after="120" w:line="300" w:lineRule="atLeast"/>
      <w:jc w:val="both"/>
    </w:pPr>
    <w:rPr>
      <w:rFonts w:eastAsia="Arial Unicode MS"/>
      <w:b/>
      <w:sz w:val="36"/>
      <w:szCs w:val="20"/>
      <w:lang w:eastAsia="en-US"/>
    </w:rPr>
  </w:style>
  <w:style w:type="paragraph" w:styleId="TemplateType" w:customStyle="1">
    <w:name w:val="Template Type"/>
    <w:link w:val="TemplateTypeChar"/>
    <w:rsid w:val="001C77A7"/>
    <w:pPr>
      <w:spacing w:after="120"/>
    </w:pPr>
    <w:rPr>
      <w:rFonts w:ascii="Arial" w:hAnsi="Arial" w:eastAsia="Arial Unicode MS" w:cs="Arial"/>
      <w:color w:val="000000"/>
      <w:sz w:val="24"/>
      <w:szCs w:val="24"/>
      <w:lang w:val="en-US" w:eastAsia="en-US"/>
    </w:rPr>
  </w:style>
  <w:style w:type="character" w:styleId="TemplateTypeChar" w:customStyle="1">
    <w:name w:val="Template Type Char"/>
    <w:link w:val="TemplateType"/>
    <w:rsid w:val="001C77A7"/>
    <w:rPr>
      <w:rFonts w:ascii="Arial" w:hAnsi="Arial" w:eastAsia="Arial Unicode MS" w:cs="Arial"/>
      <w:color w:val="000000"/>
      <w:sz w:val="24"/>
      <w:szCs w:val="24"/>
      <w:lang w:val="en-US" w:eastAsia="en-US"/>
    </w:rPr>
  </w:style>
  <w:style w:type="paragraph" w:styleId="Title">
    <w:name w:val="Title"/>
    <w:link w:val="TitleChar"/>
    <w:qFormat/>
    <w:rsid w:val="001C77A7"/>
    <w:pPr>
      <w:spacing w:after="120"/>
    </w:pPr>
    <w:rPr>
      <w:rFonts w:ascii="Arial" w:hAnsi="Arial" w:eastAsia="Arial Unicode MS" w:cs="Arial"/>
      <w:color w:val="000000"/>
      <w:sz w:val="24"/>
      <w:szCs w:val="22"/>
      <w:lang w:val="en-US" w:eastAsia="en-US"/>
    </w:rPr>
  </w:style>
  <w:style w:type="character" w:styleId="TitleChar" w:customStyle="1">
    <w:name w:val="Title Char"/>
    <w:link w:val="Title"/>
    <w:rsid w:val="001C77A7"/>
    <w:rPr>
      <w:rFonts w:ascii="Arial" w:hAnsi="Arial" w:eastAsia="Arial Unicode MS" w:cs="Arial"/>
      <w:color w:val="000000"/>
      <w:sz w:val="24"/>
      <w:lang w:val="en-US" w:eastAsia="en-US"/>
    </w:rPr>
  </w:style>
  <w:style w:type="paragraph" w:styleId="Footer">
    <w:name w:val="footer"/>
    <w:basedOn w:val="Normal"/>
    <w:link w:val="FooterChar"/>
    <w:rsid w:val="001C77A7"/>
    <w:pPr>
      <w:tabs>
        <w:tab w:val="center" w:pos="4153"/>
        <w:tab w:val="right" w:pos="8306"/>
      </w:tabs>
      <w:spacing w:after="240" w:line="300" w:lineRule="atLeast"/>
      <w:jc w:val="both"/>
    </w:pPr>
    <w:rPr>
      <w:rFonts w:ascii="Times New Roman" w:hAnsi="Times New Roman" w:eastAsia="Times New Roman" w:cs="Times New Roman"/>
      <w:szCs w:val="20"/>
      <w:lang w:eastAsia="en-US"/>
    </w:rPr>
  </w:style>
  <w:style w:type="character" w:styleId="FooterChar" w:customStyle="1">
    <w:name w:val="Footer Char"/>
    <w:basedOn w:val="DefaultParagraphFont"/>
    <w:link w:val="Footer"/>
    <w:rsid w:val="001C77A7"/>
    <w:rPr>
      <w:rFonts w:ascii="Times New Roman" w:hAnsi="Times New Roman" w:eastAsia="Times New Roman" w:cs="Times New Roman"/>
      <w:color w:val="000000"/>
      <w:szCs w:val="20"/>
      <w:lang w:eastAsia="en-US"/>
    </w:rPr>
  </w:style>
  <w:style w:type="character" w:styleId="Hyperlink">
    <w:name w:val="Hyperlink"/>
    <w:basedOn w:val="DefaultParagraphFont"/>
    <w:uiPriority w:val="99"/>
    <w:rsid w:val="001C77A7"/>
    <w:rPr>
      <w:rFonts w:ascii="Arial" w:hAnsi="Arial" w:eastAsia="Arial" w:cs="Arial"/>
      <w:i/>
      <w:color w:val="000000"/>
      <w:u w:val="single"/>
    </w:rPr>
  </w:style>
  <w:style w:type="paragraph" w:styleId="Bullet4" w:customStyle="1">
    <w:name w:val="Bullet4"/>
    <w:basedOn w:val="Normal"/>
    <w:rsid w:val="001C77A7"/>
    <w:pPr>
      <w:numPr>
        <w:numId w:val="9"/>
      </w:numPr>
      <w:spacing w:after="240" w:line="240" w:lineRule="auto"/>
      <w:jc w:val="both"/>
    </w:pPr>
    <w:rPr>
      <w:rFonts w:ascii="Times New Roman" w:hAnsi="Times New Roman" w:eastAsia="Times New Roman" w:cs="Times New Roman"/>
      <w:szCs w:val="20"/>
      <w:lang w:eastAsia="en-US"/>
    </w:rPr>
  </w:style>
  <w:style w:type="paragraph" w:styleId="Paragraph" w:customStyle="1">
    <w:name w:val="Paragraph"/>
    <w:basedOn w:val="Normal"/>
    <w:link w:val="ParagraphChar"/>
    <w:qFormat/>
    <w:rsid w:val="001C77A7"/>
    <w:pPr>
      <w:spacing w:after="120" w:line="300" w:lineRule="atLeast"/>
      <w:jc w:val="both"/>
    </w:pPr>
    <w:rPr>
      <w:rFonts w:eastAsia="Arial Unicode MS"/>
      <w:szCs w:val="20"/>
      <w:lang w:eastAsia="en-US"/>
    </w:rPr>
  </w:style>
  <w:style w:type="paragraph" w:styleId="IgnoredTemplateText" w:customStyle="1">
    <w:name w:val="Ignored Template Text"/>
    <w:link w:val="IgnoredTemplateTextChar"/>
    <w:rsid w:val="001C77A7"/>
    <w:pPr>
      <w:pBdr>
        <w:top w:val="single" w:color="auto" w:sz="4" w:space="1"/>
        <w:left w:val="single" w:color="auto" w:sz="4" w:space="4"/>
        <w:bottom w:val="single" w:color="auto" w:sz="4" w:space="1"/>
        <w:right w:val="single" w:color="auto" w:sz="4" w:space="4"/>
      </w:pBdr>
      <w:shd w:val="pct15" w:color="auto" w:fill="FBD4B4"/>
      <w:spacing w:after="120"/>
    </w:pPr>
    <w:rPr>
      <w:rFonts w:ascii="Arial" w:hAnsi="Arial" w:eastAsia="Arial Unicode MS" w:cs="Arial"/>
      <w:b/>
      <w:i/>
      <w:color w:val="000000"/>
      <w:sz w:val="22"/>
      <w:szCs w:val="18"/>
      <w:lang w:val="en-US" w:eastAsia="en-US"/>
    </w:rPr>
  </w:style>
  <w:style w:type="character" w:styleId="IgnoredTemplateTextChar" w:customStyle="1">
    <w:name w:val="Ignored Template Text Char"/>
    <w:link w:val="IgnoredTemplateText"/>
    <w:rsid w:val="001C77A7"/>
    <w:rPr>
      <w:rFonts w:ascii="Arial" w:hAnsi="Arial" w:eastAsia="Arial Unicode MS" w:cs="Arial"/>
      <w:b/>
      <w:i/>
      <w:color w:val="000000"/>
      <w:szCs w:val="18"/>
      <w:shd w:val="pct15" w:color="auto" w:fill="FBD4B4"/>
      <w:lang w:val="en-US" w:eastAsia="en-US"/>
    </w:rPr>
  </w:style>
  <w:style w:type="paragraph" w:styleId="InternalTOC" w:customStyle="1">
    <w:name w:val="Internal TOC"/>
    <w:rsid w:val="001C77A7"/>
    <w:pPr>
      <w:spacing w:after="120"/>
    </w:pPr>
    <w:rPr>
      <w:rFonts w:ascii="Arial" w:hAnsi="Arial" w:eastAsia="Arial Unicode MS" w:cs="Arial"/>
      <w:color w:val="000000"/>
      <w:sz w:val="22"/>
      <w:szCs w:val="22"/>
      <w:lang w:val="en-US" w:eastAsia="en-US"/>
    </w:rPr>
  </w:style>
  <w:style w:type="paragraph" w:styleId="HeadingLevel1" w:customStyle="1">
    <w:name w:val="Heading Level 1"/>
    <w:basedOn w:val="Normal"/>
    <w:next w:val="Paragraph"/>
    <w:rsid w:val="001C77A7"/>
    <w:pPr>
      <w:keepNext/>
      <w:spacing w:after="120" w:line="300" w:lineRule="atLeast"/>
      <w:jc w:val="both"/>
      <w:outlineLvl w:val="1"/>
    </w:pPr>
    <w:rPr>
      <w:rFonts w:eastAsia="Arial Unicode MS"/>
      <w:b/>
      <w:sz w:val="36"/>
      <w:szCs w:val="20"/>
      <w:lang w:eastAsia="en-US"/>
    </w:rPr>
  </w:style>
  <w:style w:type="paragraph" w:styleId="HeadingLevel2" w:customStyle="1">
    <w:name w:val="Heading Level 2"/>
    <w:basedOn w:val="Normal"/>
    <w:next w:val="Paragraph"/>
    <w:rsid w:val="001C77A7"/>
    <w:pPr>
      <w:keepNext/>
      <w:spacing w:after="120" w:line="300" w:lineRule="atLeast"/>
      <w:jc w:val="both"/>
      <w:outlineLvl w:val="2"/>
    </w:pPr>
    <w:rPr>
      <w:rFonts w:eastAsia="Arial Unicode MS"/>
      <w:b/>
      <w:sz w:val="28"/>
      <w:szCs w:val="20"/>
      <w:lang w:eastAsia="en-US"/>
    </w:rPr>
  </w:style>
  <w:style w:type="paragraph" w:styleId="HeadingLevel3" w:customStyle="1">
    <w:name w:val="Heading Level 3"/>
    <w:basedOn w:val="Normal"/>
    <w:next w:val="Paragraph"/>
    <w:rsid w:val="001C77A7"/>
    <w:pPr>
      <w:keepNext/>
      <w:spacing w:after="120" w:line="300" w:lineRule="atLeast"/>
      <w:jc w:val="both"/>
      <w:outlineLvl w:val="3"/>
    </w:pPr>
    <w:rPr>
      <w:rFonts w:eastAsia="Arial Unicode MS"/>
      <w:b/>
      <w:i/>
      <w:sz w:val="28"/>
      <w:szCs w:val="20"/>
      <w:lang w:eastAsia="en-US"/>
    </w:rPr>
  </w:style>
  <w:style w:type="paragraph" w:styleId="Header">
    <w:name w:val="header"/>
    <w:basedOn w:val="Normal"/>
    <w:link w:val="HeaderChar"/>
    <w:uiPriority w:val="99"/>
    <w:unhideWhenUsed/>
    <w:rsid w:val="001C77A7"/>
    <w:pPr>
      <w:tabs>
        <w:tab w:val="center" w:pos="4513"/>
        <w:tab w:val="right" w:pos="9026"/>
      </w:tabs>
      <w:spacing w:after="0" w:line="240" w:lineRule="auto"/>
    </w:pPr>
  </w:style>
  <w:style w:type="character" w:styleId="HeaderChar" w:customStyle="1">
    <w:name w:val="Header Char"/>
    <w:basedOn w:val="DefaultParagraphFont"/>
    <w:link w:val="Header"/>
    <w:uiPriority w:val="99"/>
    <w:rsid w:val="001C77A7"/>
    <w:rPr>
      <w:rFonts w:ascii="Arial" w:hAnsi="Arial" w:eastAsia="Arial" w:cs="Arial"/>
      <w:color w:val="000000"/>
    </w:rPr>
  </w:style>
  <w:style w:type="character" w:styleId="PlaceholderText">
    <w:name w:val="Placeholder Text"/>
    <w:basedOn w:val="DefaultParagraphFont"/>
    <w:uiPriority w:val="99"/>
    <w:rsid w:val="001C77A7"/>
    <w:rPr>
      <w:rFonts w:ascii="Arial" w:hAnsi="Arial" w:eastAsia="Arial" w:cs="Arial"/>
      <w:color w:val="000000"/>
    </w:rPr>
  </w:style>
  <w:style w:type="paragraph" w:styleId="BalloonText">
    <w:name w:val="Balloon Text"/>
    <w:basedOn w:val="Normal"/>
    <w:link w:val="BalloonTextChar"/>
    <w:uiPriority w:val="99"/>
    <w:semiHidden/>
    <w:unhideWhenUsed/>
    <w:rsid w:val="001C77A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C77A7"/>
    <w:rPr>
      <w:rFonts w:ascii="Tahoma" w:hAnsi="Tahoma" w:eastAsia="Arial" w:cs="Tahoma"/>
      <w:color w:val="000000"/>
      <w:sz w:val="16"/>
      <w:szCs w:val="16"/>
    </w:rPr>
  </w:style>
  <w:style w:type="paragraph" w:styleId="PinPointRef" w:customStyle="1">
    <w:name w:val="PinPoint Ref"/>
    <w:link w:val="PinPointRefChar"/>
    <w:qFormat/>
    <w:rsid w:val="001C77A7"/>
    <w:rPr>
      <w:rFonts w:ascii="Times New Roman" w:hAnsi="Times New Roman"/>
      <w:b/>
      <w:vanish/>
      <w:color w:val="000000"/>
      <w:sz w:val="18"/>
      <w:lang w:eastAsia="en-US"/>
    </w:rPr>
  </w:style>
  <w:style w:type="character" w:styleId="PinPointRefChar" w:customStyle="1">
    <w:name w:val="PinPoint Ref Char"/>
    <w:basedOn w:val="DefaultParagraphFont"/>
    <w:link w:val="PinPointRef"/>
    <w:rsid w:val="001C77A7"/>
    <w:rPr>
      <w:rFonts w:ascii="Times New Roman" w:hAnsi="Times New Roman" w:eastAsia="Times New Roman" w:cs="Times New Roman"/>
      <w:b/>
      <w:vanish/>
      <w:color w:val="000000"/>
      <w:sz w:val="18"/>
      <w:szCs w:val="20"/>
      <w:lang w:eastAsia="en-US"/>
    </w:rPr>
  </w:style>
  <w:style w:type="paragraph" w:styleId="BlockQuote" w:customStyle="1">
    <w:name w:val="Block Quote"/>
    <w:link w:val="BlockQuoteChar"/>
    <w:qFormat/>
    <w:rsid w:val="001C77A7"/>
    <w:pPr>
      <w:spacing w:before="120"/>
      <w:ind w:left="720"/>
    </w:pPr>
    <w:rPr>
      <w:rFonts w:ascii="Arial" w:hAnsi="Arial" w:eastAsia="Arial Unicode MS" w:cs="Arial"/>
      <w:color w:val="000000"/>
      <w:sz w:val="18"/>
      <w:lang w:eastAsia="en-US"/>
    </w:rPr>
  </w:style>
  <w:style w:type="character" w:styleId="BlockQuoteChar" w:customStyle="1">
    <w:name w:val="Block Quote Char"/>
    <w:basedOn w:val="DefaultParagraphFont"/>
    <w:link w:val="BlockQuote"/>
    <w:rsid w:val="001C77A7"/>
    <w:rPr>
      <w:rFonts w:ascii="Arial" w:hAnsi="Arial" w:eastAsia="Arial Unicode MS" w:cs="Arial"/>
      <w:color w:val="000000"/>
      <w:sz w:val="18"/>
      <w:szCs w:val="20"/>
      <w:lang w:eastAsia="en-US"/>
    </w:rPr>
  </w:style>
  <w:style w:type="paragraph" w:styleId="ListParagraphLevel1" w:customStyle="1">
    <w:name w:val="List Paragraph Level 1"/>
    <w:link w:val="ListParagraphLevel1Char"/>
    <w:rsid w:val="001C77A7"/>
    <w:pPr>
      <w:spacing w:after="120"/>
      <w:ind w:left="357"/>
      <w:jc w:val="both"/>
    </w:pPr>
    <w:rPr>
      <w:rFonts w:ascii="Arial" w:hAnsi="Arial" w:eastAsia="Arial Unicode MS" w:cs="Arial"/>
      <w:color w:val="000000"/>
      <w:sz w:val="22"/>
      <w:szCs w:val="24"/>
      <w:lang w:val="en-US" w:eastAsia="en-US"/>
    </w:rPr>
  </w:style>
  <w:style w:type="paragraph" w:styleId="ListParagraphLevel2" w:customStyle="1">
    <w:name w:val="List Paragraph Level 2"/>
    <w:link w:val="ListParagraphLevel2Char"/>
    <w:qFormat/>
    <w:rsid w:val="001C77A7"/>
    <w:pPr>
      <w:spacing w:after="120"/>
      <w:ind w:left="1077"/>
      <w:jc w:val="both"/>
    </w:pPr>
    <w:rPr>
      <w:rFonts w:ascii="Arial" w:hAnsi="Arial" w:eastAsia="Arial Unicode MS" w:cs="Arial"/>
      <w:color w:val="000000"/>
      <w:sz w:val="22"/>
      <w:szCs w:val="24"/>
      <w:lang w:val="en-US" w:eastAsia="en-US"/>
    </w:rPr>
  </w:style>
  <w:style w:type="character" w:styleId="ListParagraphLevel1Char" w:customStyle="1">
    <w:name w:val="List Paragraph Level 1 Char"/>
    <w:basedOn w:val="DefaultParagraphFont"/>
    <w:link w:val="ListParagraphLevel1"/>
    <w:rsid w:val="001C77A7"/>
    <w:rPr>
      <w:rFonts w:ascii="Arial" w:hAnsi="Arial" w:eastAsia="Arial Unicode MS" w:cs="Arial"/>
      <w:color w:val="000000"/>
      <w:szCs w:val="24"/>
      <w:lang w:val="en-US" w:eastAsia="en-US"/>
    </w:rPr>
  </w:style>
  <w:style w:type="character" w:styleId="ListParagraphLevel2Char" w:customStyle="1">
    <w:name w:val="List Paragraph Level 2 Char"/>
    <w:basedOn w:val="DefaultParagraphFont"/>
    <w:link w:val="ListParagraphLevel2"/>
    <w:rsid w:val="001C77A7"/>
    <w:rPr>
      <w:rFonts w:ascii="Arial" w:hAnsi="Arial" w:eastAsia="Arial Unicode MS" w:cs="Arial"/>
      <w:color w:val="000000"/>
      <w:szCs w:val="24"/>
      <w:lang w:val="en-US" w:eastAsia="en-US"/>
    </w:rPr>
  </w:style>
  <w:style w:type="paragraph" w:styleId="IntroDefault" w:customStyle="1">
    <w:name w:val="Intro Default"/>
    <w:basedOn w:val="Paragraph"/>
    <w:qFormat/>
    <w:rsid w:val="001C77A7"/>
  </w:style>
  <w:style w:type="paragraph" w:styleId="IntroCustom" w:customStyle="1">
    <w:name w:val="Intro Custom"/>
    <w:basedOn w:val="Paragraph"/>
    <w:qFormat/>
    <w:rsid w:val="001C77A7"/>
  </w:style>
  <w:style w:type="paragraph" w:styleId="PrecedentType" w:customStyle="1">
    <w:name w:val="Precedent Type"/>
    <w:basedOn w:val="IgnoredSpacing"/>
    <w:qFormat/>
    <w:rsid w:val="001C77A7"/>
  </w:style>
  <w:style w:type="paragraph" w:styleId="Operative" w:customStyle="1">
    <w:name w:val="Operative"/>
    <w:basedOn w:val="IgnoredSpacing"/>
    <w:qFormat/>
    <w:rsid w:val="001C77A7"/>
    <w:rPr>
      <w:vanish/>
    </w:rPr>
  </w:style>
  <w:style w:type="paragraph" w:styleId="SpeedreadBulletList1" w:customStyle="1">
    <w:name w:val="Speedread Bullet List 1"/>
    <w:basedOn w:val="BulletList1"/>
    <w:qFormat/>
    <w:rsid w:val="001C77A7"/>
  </w:style>
  <w:style w:type="paragraph" w:styleId="PartiesTitle" w:customStyle="1">
    <w:name w:val="Parties Title"/>
    <w:basedOn w:val="Paragraph"/>
    <w:qFormat/>
    <w:rsid w:val="001C77A7"/>
    <w:rPr>
      <w:b/>
    </w:rPr>
  </w:style>
  <w:style w:type="table" w:styleId="TableGrid">
    <w:name w:val="Table Grid"/>
    <w:basedOn w:val="TableNormal"/>
    <w:rsid w:val="001C77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estionParagraph" w:customStyle="1">
    <w:name w:val="Question Paragraph"/>
    <w:link w:val="QuestionParagraphChar"/>
    <w:qFormat/>
    <w:rsid w:val="001C77A7"/>
    <w:pPr>
      <w:numPr>
        <w:numId w:val="10"/>
      </w:numPr>
      <w:shd w:val="clear" w:color="auto" w:fill="D9D9D9"/>
      <w:spacing w:after="120"/>
      <w:ind w:left="357" w:hanging="357"/>
      <w:outlineLvl w:val="0"/>
    </w:pPr>
    <w:rPr>
      <w:rFonts w:ascii="Arial" w:hAnsi="Arial" w:eastAsia="Arial Unicode MS" w:cs="Arial"/>
      <w:color w:val="000000"/>
      <w:sz w:val="22"/>
      <w:szCs w:val="22"/>
      <w:lang w:val="en-US" w:eastAsia="en-US"/>
    </w:rPr>
  </w:style>
  <w:style w:type="paragraph" w:styleId="BulletList1Pattern" w:customStyle="1">
    <w:name w:val="Bullet List 1 + Pattern"/>
    <w:basedOn w:val="BulletList1"/>
    <w:qFormat/>
    <w:rsid w:val="001C77A7"/>
    <w:pPr>
      <w:shd w:val="clear" w:color="auto" w:fill="D9D9D9"/>
      <w:spacing w:after="120" w:line="240" w:lineRule="auto"/>
      <w:ind w:left="714" w:hanging="357"/>
    </w:pPr>
  </w:style>
  <w:style w:type="character" w:styleId="QuestionParagraphChar" w:customStyle="1">
    <w:name w:val="Question Paragraph Char"/>
    <w:basedOn w:val="DefaultParagraphFont"/>
    <w:link w:val="QuestionParagraph"/>
    <w:rsid w:val="001C77A7"/>
    <w:rPr>
      <w:rFonts w:ascii="Arial" w:hAnsi="Arial" w:eastAsia="Arial Unicode MS" w:cs="Arial"/>
      <w:color w:val="000000"/>
      <w:shd w:val="clear" w:color="auto" w:fill="D9D9D9"/>
      <w:lang w:val="en-US" w:eastAsia="en-US"/>
    </w:rPr>
  </w:style>
  <w:style w:type="paragraph" w:styleId="BulletList2Pattern" w:customStyle="1">
    <w:name w:val="Bullet List 2 + Pattern"/>
    <w:basedOn w:val="BulletList2"/>
    <w:qFormat/>
    <w:rsid w:val="001C77A7"/>
    <w:pPr>
      <w:shd w:val="clear" w:color="auto" w:fill="D9D9D9"/>
      <w:ind w:left="1077"/>
    </w:pPr>
  </w:style>
  <w:style w:type="paragraph" w:styleId="TestimoniumContract" w:customStyle="1">
    <w:name w:val="Testimonium Contract"/>
    <w:basedOn w:val="Paragraph"/>
    <w:qFormat/>
    <w:rsid w:val="001C77A7"/>
  </w:style>
  <w:style w:type="paragraph" w:styleId="TestimoniumDeed" w:customStyle="1">
    <w:name w:val="Testimonium Deed"/>
    <w:basedOn w:val="Paragraph"/>
    <w:qFormat/>
    <w:rsid w:val="001C77A7"/>
  </w:style>
  <w:style w:type="paragraph" w:styleId="Titlesubclause2" w:customStyle="1">
    <w:name w:val="Title subclause2"/>
    <w:basedOn w:val="Untitledsubclause2"/>
    <w:qFormat/>
    <w:rsid w:val="001C77A7"/>
    <w:rPr>
      <w:b/>
    </w:rPr>
  </w:style>
  <w:style w:type="paragraph" w:styleId="Titlesubclause3" w:customStyle="1">
    <w:name w:val="Title subclause3"/>
    <w:basedOn w:val="Untitledsubclause3"/>
    <w:qFormat/>
    <w:rsid w:val="001C77A7"/>
    <w:rPr>
      <w:b/>
    </w:rPr>
  </w:style>
  <w:style w:type="paragraph" w:styleId="Titlesubclause4" w:customStyle="1">
    <w:name w:val="Title subclause4"/>
    <w:basedOn w:val="Untitledsubclause4"/>
    <w:qFormat/>
    <w:rsid w:val="001C77A7"/>
    <w:rPr>
      <w:b/>
    </w:rPr>
  </w:style>
  <w:style w:type="paragraph" w:styleId="UntitledClause" w:customStyle="1">
    <w:name w:val="Untitled Clause"/>
    <w:basedOn w:val="TitleClause"/>
    <w:qFormat/>
    <w:rsid w:val="001C77A7"/>
    <w:pPr>
      <w:spacing w:before="120"/>
    </w:pPr>
    <w:rPr>
      <w:b w:val="0"/>
    </w:rPr>
  </w:style>
  <w:style w:type="paragraph" w:styleId="Titlesubclause1" w:customStyle="1">
    <w:name w:val="Title subclause1"/>
    <w:basedOn w:val="Untitledsubclause1"/>
    <w:qFormat/>
    <w:rsid w:val="001C77A7"/>
    <w:pPr>
      <w:spacing w:before="120"/>
    </w:pPr>
    <w:rPr>
      <w:b/>
    </w:rPr>
  </w:style>
  <w:style w:type="paragraph" w:styleId="Schedule" w:customStyle="1">
    <w:name w:val="Schedule"/>
    <w:qFormat/>
    <w:rsid w:val="001C77A7"/>
    <w:pPr>
      <w:numPr>
        <w:numId w:val="49"/>
      </w:numPr>
      <w:spacing w:before="240" w:after="240" w:line="240" w:lineRule="atLeast"/>
    </w:pPr>
    <w:rPr>
      <w:rFonts w:ascii="Arial" w:hAnsi="Arial" w:eastAsia="Arial Unicode MS" w:cs="Arial"/>
      <w:b/>
      <w:color w:val="000000"/>
      <w:sz w:val="22"/>
      <w:szCs w:val="22"/>
      <w:lang w:val="en-US" w:eastAsia="en-US"/>
    </w:rPr>
  </w:style>
  <w:style w:type="character" w:styleId="Heading1Char" w:customStyle="1">
    <w:name w:val="Heading 1 Char"/>
    <w:basedOn w:val="DefaultParagraphFont"/>
    <w:link w:val="Heading1"/>
    <w:uiPriority w:val="9"/>
    <w:rsid w:val="001C77A7"/>
    <w:rPr>
      <w:rFonts w:ascii="Cambria" w:hAnsi="Cambria" w:eastAsia="Times New Roman" w:cs="Times New Roman"/>
      <w:b/>
      <w:bCs/>
      <w:color w:val="000000"/>
      <w:sz w:val="28"/>
      <w:szCs w:val="28"/>
    </w:rPr>
  </w:style>
  <w:style w:type="character" w:styleId="Heading2Char" w:customStyle="1">
    <w:name w:val="Heading 2 Char"/>
    <w:basedOn w:val="DefaultParagraphFont"/>
    <w:link w:val="Heading2"/>
    <w:uiPriority w:val="9"/>
    <w:semiHidden/>
    <w:rsid w:val="001C77A7"/>
    <w:rPr>
      <w:rFonts w:ascii="Cambria" w:hAnsi="Cambria" w:eastAsia="Times New Roman" w:cs="Times New Roman"/>
      <w:b/>
      <w:bCs/>
      <w:color w:val="000000"/>
      <w:sz w:val="26"/>
      <w:szCs w:val="26"/>
    </w:rPr>
  </w:style>
  <w:style w:type="character" w:styleId="Heading3Char" w:customStyle="1">
    <w:name w:val="Heading 3 Char"/>
    <w:basedOn w:val="DefaultParagraphFont"/>
    <w:link w:val="Heading3"/>
    <w:uiPriority w:val="9"/>
    <w:semiHidden/>
    <w:rsid w:val="001C77A7"/>
    <w:rPr>
      <w:rFonts w:ascii="Cambria" w:hAnsi="Cambria" w:eastAsia="Times New Roman" w:cs="Times New Roman"/>
      <w:b/>
      <w:bCs/>
      <w:color w:val="000000"/>
    </w:rPr>
  </w:style>
  <w:style w:type="character" w:styleId="Heading4Char" w:customStyle="1">
    <w:name w:val="Heading 4 Char"/>
    <w:basedOn w:val="DefaultParagraphFont"/>
    <w:link w:val="Heading4"/>
    <w:uiPriority w:val="9"/>
    <w:semiHidden/>
    <w:rsid w:val="001C77A7"/>
    <w:rPr>
      <w:rFonts w:ascii="Cambria" w:hAnsi="Cambria" w:eastAsia="Times New Roman" w:cs="Times New Roman"/>
      <w:b/>
      <w:bCs/>
      <w:i/>
      <w:iCs/>
      <w:color w:val="000000"/>
    </w:rPr>
  </w:style>
  <w:style w:type="character" w:styleId="Heading5Char" w:customStyle="1">
    <w:name w:val="Heading 5 Char"/>
    <w:basedOn w:val="DefaultParagraphFont"/>
    <w:link w:val="Heading5"/>
    <w:uiPriority w:val="9"/>
    <w:semiHidden/>
    <w:rsid w:val="001C77A7"/>
    <w:rPr>
      <w:rFonts w:ascii="Cambria" w:hAnsi="Cambria" w:eastAsia="Times New Roman" w:cs="Times New Roman"/>
      <w:color w:val="000000"/>
    </w:rPr>
  </w:style>
  <w:style w:type="character" w:styleId="Heading6Char" w:customStyle="1">
    <w:name w:val="Heading 6 Char"/>
    <w:basedOn w:val="DefaultParagraphFont"/>
    <w:link w:val="Heading6"/>
    <w:uiPriority w:val="9"/>
    <w:semiHidden/>
    <w:rsid w:val="001C77A7"/>
    <w:rPr>
      <w:rFonts w:ascii="Cambria" w:hAnsi="Cambria" w:eastAsia="Times New Roman" w:cs="Times New Roman"/>
      <w:i/>
      <w:iCs/>
      <w:color w:val="000000"/>
    </w:rPr>
  </w:style>
  <w:style w:type="character" w:styleId="Heading7Char" w:customStyle="1">
    <w:name w:val="Heading 7 Char"/>
    <w:basedOn w:val="DefaultParagraphFont"/>
    <w:link w:val="Heading7"/>
    <w:uiPriority w:val="9"/>
    <w:semiHidden/>
    <w:rsid w:val="001C77A7"/>
    <w:rPr>
      <w:rFonts w:ascii="Cambria" w:hAnsi="Cambria" w:eastAsia="Times New Roman" w:cs="Times New Roman"/>
      <w:i/>
      <w:iCs/>
      <w:color w:val="000000"/>
    </w:rPr>
  </w:style>
  <w:style w:type="character" w:styleId="Heading8Char" w:customStyle="1">
    <w:name w:val="Heading 8 Char"/>
    <w:basedOn w:val="DefaultParagraphFont"/>
    <w:link w:val="Heading8"/>
    <w:uiPriority w:val="9"/>
    <w:semiHidden/>
    <w:rsid w:val="001C77A7"/>
    <w:rPr>
      <w:rFonts w:ascii="Cambria" w:hAnsi="Cambria" w:eastAsia="Times New Roman" w:cs="Times New Roman"/>
      <w:color w:val="000000"/>
      <w:sz w:val="20"/>
      <w:szCs w:val="20"/>
    </w:rPr>
  </w:style>
  <w:style w:type="character" w:styleId="Heading9Char" w:customStyle="1">
    <w:name w:val="Heading 9 Char"/>
    <w:basedOn w:val="DefaultParagraphFont"/>
    <w:link w:val="Heading9"/>
    <w:uiPriority w:val="9"/>
    <w:semiHidden/>
    <w:rsid w:val="001C77A7"/>
    <w:rPr>
      <w:rFonts w:ascii="Cambria" w:hAnsi="Cambria" w:eastAsia="Times New Roman" w:cs="Times New Roman"/>
      <w:i/>
      <w:iCs/>
      <w:color w:val="000000"/>
      <w:sz w:val="20"/>
      <w:szCs w:val="20"/>
    </w:rPr>
  </w:style>
  <w:style w:type="paragraph" w:styleId="ScheduleTitle" w:customStyle="1">
    <w:name w:val="Schedule Title"/>
    <w:basedOn w:val="Paragraph"/>
    <w:qFormat/>
    <w:rsid w:val="001C77A7"/>
    <w:rPr>
      <w:b/>
    </w:rPr>
  </w:style>
  <w:style w:type="paragraph" w:styleId="Part" w:customStyle="1">
    <w:name w:val="Part"/>
    <w:basedOn w:val="Paragraph"/>
    <w:qFormat/>
    <w:rsid w:val="001C77A7"/>
    <w:pPr>
      <w:numPr>
        <w:ilvl w:val="1"/>
        <w:numId w:val="39"/>
      </w:numPr>
      <w:spacing w:before="240" w:after="240"/>
      <w:jc w:val="left"/>
    </w:pPr>
    <w:rPr>
      <w:b/>
    </w:rPr>
  </w:style>
  <w:style w:type="paragraph" w:styleId="AnnexTitle" w:customStyle="1">
    <w:name w:val="Annex Title"/>
    <w:basedOn w:val="Paragraph"/>
    <w:next w:val="Paragraph"/>
    <w:qFormat/>
    <w:rsid w:val="001C77A7"/>
    <w:pPr>
      <w:spacing w:before="240" w:after="240"/>
    </w:pPr>
    <w:rPr>
      <w:b/>
    </w:rPr>
  </w:style>
  <w:style w:type="paragraph" w:styleId="PartTitle" w:customStyle="1">
    <w:name w:val="Part Title"/>
    <w:basedOn w:val="Paragraph"/>
    <w:qFormat/>
    <w:rsid w:val="001C77A7"/>
    <w:rPr>
      <w:b/>
    </w:rPr>
  </w:style>
  <w:style w:type="paragraph" w:styleId="Testimonium" w:customStyle="1">
    <w:name w:val="Testimonium"/>
    <w:basedOn w:val="Paragraph"/>
    <w:qFormat/>
    <w:rsid w:val="001C77A7"/>
  </w:style>
  <w:style w:type="character" w:styleId="apple-converted-space" w:customStyle="1">
    <w:name w:val="apple-converted-space"/>
    <w:basedOn w:val="DefaultParagraphFont"/>
    <w:rsid w:val="001C77A7"/>
    <w:rPr>
      <w:rFonts w:ascii="Arial" w:hAnsi="Arial" w:eastAsia="Arial" w:cs="Arial"/>
      <w:color w:val="000000"/>
    </w:rPr>
  </w:style>
  <w:style w:type="character" w:styleId="Emphasis">
    <w:name w:val="Emphasis"/>
    <w:basedOn w:val="DefaultParagraphFont"/>
    <w:uiPriority w:val="20"/>
    <w:qFormat/>
    <w:rsid w:val="001C77A7"/>
    <w:rPr>
      <w:rFonts w:ascii="Arial" w:hAnsi="Arial" w:eastAsia="Arial" w:cs="Arial"/>
      <w:i/>
      <w:iCs/>
      <w:color w:val="000000"/>
    </w:rPr>
  </w:style>
  <w:style w:type="paragraph" w:styleId="NoNumTitle-Clause" w:customStyle="1">
    <w:name w:val="No Num Title - Clause"/>
    <w:basedOn w:val="TitleClause"/>
    <w:qFormat/>
    <w:rsid w:val="001C77A7"/>
    <w:pPr>
      <w:numPr>
        <w:numId w:val="0"/>
      </w:numPr>
      <w:ind w:left="720"/>
    </w:pPr>
  </w:style>
  <w:style w:type="paragraph" w:styleId="NoNumTitlesubclause1" w:customStyle="1">
    <w:name w:val="No Num Title subclause1"/>
    <w:basedOn w:val="Titlesubclause1"/>
    <w:qFormat/>
    <w:rsid w:val="001C77A7"/>
    <w:pPr>
      <w:numPr>
        <w:ilvl w:val="0"/>
        <w:numId w:val="0"/>
      </w:numPr>
      <w:ind w:left="720"/>
    </w:pPr>
  </w:style>
  <w:style w:type="paragraph" w:styleId="AddressLine" w:customStyle="1">
    <w:name w:val="Address Line"/>
    <w:basedOn w:val="Paragraph"/>
    <w:qFormat/>
    <w:rsid w:val="001C77A7"/>
  </w:style>
  <w:style w:type="paragraph" w:styleId="Date">
    <w:name w:val="Date"/>
    <w:basedOn w:val="Paragraph"/>
    <w:qFormat/>
    <w:rsid w:val="001C77A7"/>
  </w:style>
  <w:style w:type="paragraph" w:styleId="SalutationPara" w:customStyle="1">
    <w:name w:val="Salutation Para"/>
    <w:basedOn w:val="Paragraph"/>
    <w:next w:val="Paragraph"/>
    <w:qFormat/>
    <w:rsid w:val="001C77A7"/>
    <w:pPr>
      <w:spacing w:before="240"/>
    </w:pPr>
  </w:style>
  <w:style w:type="character" w:styleId="FollowedHyperlink">
    <w:name w:val="FollowedHyperlink"/>
    <w:basedOn w:val="DefaultParagraphFont"/>
    <w:uiPriority w:val="99"/>
    <w:semiHidden/>
    <w:unhideWhenUsed/>
    <w:rsid w:val="001C77A7"/>
    <w:rPr>
      <w:rFonts w:ascii="Arial" w:hAnsi="Arial" w:eastAsia="Arial" w:cs="Arial"/>
      <w:i/>
      <w:color w:val="000000"/>
      <w:u w:val="single"/>
    </w:rPr>
  </w:style>
  <w:style w:type="character" w:styleId="DefTerm" w:customStyle="1">
    <w:name w:val="DefTerm"/>
    <w:basedOn w:val="DefaultParagraphFont"/>
    <w:uiPriority w:val="1"/>
    <w:qFormat/>
    <w:rsid w:val="001C77A7"/>
    <w:rPr>
      <w:rFonts w:ascii="Arial" w:hAnsi="Arial" w:eastAsia="Arial" w:cs="Arial"/>
      <w:b/>
      <w:color w:val="000000"/>
    </w:rPr>
  </w:style>
  <w:style w:type="table" w:styleId="ShadedTable" w:customStyle="1">
    <w:name w:val="Shaded Table"/>
    <w:basedOn w:val="TableNormal"/>
    <w:uiPriority w:val="99"/>
    <w:rsid w:val="001C77A7"/>
    <w:tblPr>
      <w:tblBorders>
        <w:top w:val="single" w:color="auto" w:sz="4" w:space="0"/>
        <w:left w:val="single" w:color="auto" w:sz="4" w:space="0"/>
        <w:bottom w:val="single" w:color="auto" w:sz="4" w:space="0"/>
        <w:right w:val="single" w:color="auto" w:sz="4" w:space="0"/>
        <w:insideH w:val="nil"/>
        <w:insideV w:val="nil"/>
      </w:tblBorders>
    </w:tblPr>
    <w:tcPr>
      <w:shd w:val="clear" w:color="auto" w:fill="EEECE1"/>
    </w:tcPr>
  </w:style>
  <w:style w:type="paragraph" w:styleId="Letterhead" w:customStyle="1">
    <w:name w:val="Letterhead"/>
    <w:basedOn w:val="Paragraph"/>
    <w:qFormat/>
    <w:rsid w:val="001C77A7"/>
    <w:rPr>
      <w:i/>
    </w:rPr>
  </w:style>
  <w:style w:type="paragraph" w:styleId="LetterTitle" w:customStyle="1">
    <w:name w:val="Letter Title"/>
    <w:basedOn w:val="Paragraph"/>
    <w:qFormat/>
    <w:rsid w:val="001C77A7"/>
    <w:rPr>
      <w:b/>
    </w:rPr>
  </w:style>
  <w:style w:type="paragraph" w:styleId="LongQuestionPara" w:customStyle="1">
    <w:name w:val="Long Question Para"/>
    <w:basedOn w:val="Paragraph"/>
    <w:link w:val="LongQuestionParaChar"/>
    <w:rsid w:val="001C77A7"/>
    <w:pPr>
      <w:numPr>
        <w:numId w:val="15"/>
      </w:numPr>
      <w:spacing w:before="240" w:after="240" w:line="240" w:lineRule="auto"/>
      <w:outlineLvl w:val="1"/>
    </w:pPr>
    <w:rPr>
      <w:sz w:val="20"/>
      <w:lang w:val="en-US"/>
    </w:rPr>
  </w:style>
  <w:style w:type="character" w:styleId="LongQuestionParaChar" w:customStyle="1">
    <w:name w:val="Long Question Para Char"/>
    <w:basedOn w:val="DefaultParagraphFont"/>
    <w:link w:val="LongQuestionPara"/>
    <w:rsid w:val="001C77A7"/>
    <w:rPr>
      <w:rFonts w:ascii="Arial" w:hAnsi="Arial" w:eastAsia="Arial Unicode MS" w:cs="Arial"/>
      <w:color w:val="000000"/>
      <w:sz w:val="20"/>
      <w:szCs w:val="20"/>
      <w:lang w:val="en-US" w:eastAsia="en-US"/>
    </w:rPr>
  </w:style>
  <w:style w:type="paragraph" w:styleId="ShortQuestionPara" w:customStyle="1">
    <w:name w:val="Short Question Para"/>
    <w:basedOn w:val="Paragraph"/>
    <w:link w:val="ShortQuestionParaChar"/>
    <w:rsid w:val="001C77A7"/>
    <w:pPr>
      <w:shd w:val="clear" w:color="auto" w:fill="D9D9D9"/>
      <w:tabs>
        <w:tab w:val="left" w:pos="270"/>
      </w:tabs>
      <w:spacing w:after="40" w:line="240" w:lineRule="auto"/>
      <w:outlineLvl w:val="1"/>
    </w:pPr>
    <w:rPr>
      <w:bCs/>
      <w:sz w:val="20"/>
      <w:lang w:val="en-US"/>
    </w:rPr>
  </w:style>
  <w:style w:type="character" w:styleId="ShortQuestionParaChar" w:customStyle="1">
    <w:name w:val="Short Question Para Char"/>
    <w:basedOn w:val="DefaultParagraphFont"/>
    <w:link w:val="ShortQuestionPara"/>
    <w:rsid w:val="001C77A7"/>
    <w:rPr>
      <w:rFonts w:ascii="Arial" w:hAnsi="Arial" w:eastAsia="Arial Unicode MS" w:cs="Arial"/>
      <w:bCs/>
      <w:color w:val="000000"/>
      <w:sz w:val="20"/>
      <w:szCs w:val="20"/>
      <w:shd w:val="clear" w:color="auto" w:fill="D9D9D9"/>
      <w:lang w:val="en-US" w:eastAsia="en-US"/>
    </w:rPr>
  </w:style>
  <w:style w:type="character" w:styleId="ParagraphChar" w:customStyle="1">
    <w:name w:val="Paragraph Char"/>
    <w:basedOn w:val="DefaultParagraphFont"/>
    <w:link w:val="Paragraph"/>
    <w:rsid w:val="001C77A7"/>
    <w:rPr>
      <w:rFonts w:ascii="Arial" w:hAnsi="Arial" w:eastAsia="Arial Unicode MS" w:cs="Arial"/>
      <w:color w:val="000000"/>
      <w:szCs w:val="20"/>
      <w:lang w:eastAsia="en-US"/>
    </w:rPr>
  </w:style>
  <w:style w:type="paragraph" w:styleId="811D3A974D454A258B71E3C4DE24C4F210" w:customStyle="1">
    <w:name w:val="811D3A974D454A258B71E3C4DE24C4F210"/>
    <w:rsid w:val="00E00CE7"/>
    <w:pPr>
      <w:spacing w:after="120"/>
    </w:pPr>
    <w:rPr>
      <w:rFonts w:ascii="Arial" w:hAnsi="Arial" w:eastAsia="Arial Unicode MS" w:cs="Arial"/>
      <w:color w:val="000000"/>
      <w:sz w:val="24"/>
      <w:szCs w:val="22"/>
      <w:lang w:val="en-US" w:eastAsia="en-US"/>
    </w:rPr>
  </w:style>
  <w:style w:type="paragraph" w:styleId="ListParagraphLevel3" w:customStyle="1">
    <w:name w:val="List Paragraph Level 3"/>
    <w:qFormat/>
    <w:rsid w:val="001C77A7"/>
    <w:pPr>
      <w:spacing w:after="120"/>
      <w:ind w:left="2160"/>
    </w:pPr>
    <w:rPr>
      <w:rFonts w:ascii="Times New Roman" w:hAnsi="Times New Roman"/>
      <w:color w:val="000000"/>
      <w:sz w:val="24"/>
      <w:lang w:eastAsia="en-US"/>
    </w:rPr>
  </w:style>
  <w:style w:type="paragraph" w:styleId="DocumentTitle" w:customStyle="1">
    <w:name w:val="Document Title"/>
    <w:basedOn w:val="Paragraph"/>
    <w:qFormat/>
    <w:rsid w:val="001C77A7"/>
    <w:pPr>
      <w:jc w:val="center"/>
    </w:pPr>
    <w:rPr>
      <w:sz w:val="28"/>
    </w:rPr>
  </w:style>
  <w:style w:type="paragraph" w:styleId="Title-Clause" w:customStyle="1">
    <w:name w:val="Title - Clause"/>
    <w:aliases w:val="BIWS Heading 1"/>
    <w:basedOn w:val="Normal"/>
    <w:rsid w:val="001C77A7"/>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styleId="Para-Clause-nonum" w:customStyle="1">
    <w:name w:val="Para - Clause - no num"/>
    <w:aliases w:val="Body  clause"/>
    <w:basedOn w:val="Normal"/>
    <w:next w:val="Title-Clause"/>
    <w:rsid w:val="001C77A7"/>
    <w:pPr>
      <w:spacing w:before="120" w:after="120" w:line="300" w:lineRule="atLeast"/>
      <w:ind w:left="720"/>
      <w:jc w:val="both"/>
    </w:pPr>
    <w:rPr>
      <w:rFonts w:eastAsia="Arial Unicode MS"/>
      <w:szCs w:val="20"/>
      <w:lang w:eastAsia="en-US"/>
    </w:rPr>
  </w:style>
  <w:style w:type="paragraph" w:styleId="Para-Clause" w:customStyle="1">
    <w:name w:val="Para - Clause"/>
    <w:basedOn w:val="Title-Clause"/>
    <w:qFormat/>
    <w:rsid w:val="001C77A7"/>
    <w:pPr>
      <w:spacing w:before="120"/>
    </w:pPr>
    <w:rPr>
      <w:b w:val="0"/>
    </w:rPr>
  </w:style>
  <w:style w:type="paragraph" w:styleId="CoversheetParagraph" w:customStyle="1">
    <w:name w:val="Coversheet Paragraph"/>
    <w:basedOn w:val="Normal"/>
    <w:autoRedefine/>
    <w:rsid w:val="001C77A7"/>
    <w:pPr>
      <w:spacing w:after="0" w:line="300" w:lineRule="atLeast"/>
      <w:jc w:val="center"/>
    </w:pPr>
    <w:rPr>
      <w:rFonts w:ascii="Times New Roman" w:hAnsi="Times New Roman" w:eastAsia="Times New Roman" w:cs="Times New Roman"/>
      <w:szCs w:val="20"/>
      <w:lang w:eastAsia="en-US"/>
    </w:rPr>
  </w:style>
  <w:style w:type="paragraph" w:styleId="CoversheetIntro" w:customStyle="1">
    <w:name w:val="Coversheet Intro"/>
    <w:basedOn w:val="CoversheetTitle"/>
    <w:qFormat/>
    <w:rsid w:val="001C77A7"/>
    <w:rPr>
      <w:smallCaps w:val="0"/>
      <w:sz w:val="22"/>
    </w:rPr>
  </w:style>
  <w:style w:type="paragraph" w:styleId="CoversheetStaticText" w:customStyle="1">
    <w:name w:val="Coversheet Static Text"/>
    <w:basedOn w:val="CoversheetIntro"/>
    <w:qFormat/>
    <w:rsid w:val="001C77A7"/>
    <w:rPr>
      <w:b w:val="0"/>
    </w:rPr>
  </w:style>
  <w:style w:type="paragraph" w:styleId="CoversheetParty" w:customStyle="1">
    <w:name w:val="Coversheet Party"/>
    <w:basedOn w:val="CoversheetIntro"/>
    <w:qFormat/>
    <w:rsid w:val="001C77A7"/>
  </w:style>
  <w:style w:type="paragraph" w:styleId="NoNumUntitledClause" w:customStyle="1">
    <w:name w:val="No Num Untitled Clause"/>
    <w:basedOn w:val="UntitledClause"/>
    <w:qFormat/>
    <w:rsid w:val="001C77A7"/>
    <w:pPr>
      <w:numPr>
        <w:numId w:val="0"/>
      </w:numPr>
      <w:ind w:left="720"/>
    </w:pPr>
  </w:style>
  <w:style w:type="paragraph" w:styleId="BackgroundSubclause1" w:customStyle="1">
    <w:name w:val="Background Subclause1"/>
    <w:basedOn w:val="Background"/>
    <w:qFormat/>
    <w:rsid w:val="001C77A7"/>
    <w:pPr>
      <w:numPr>
        <w:ilvl w:val="1"/>
      </w:numPr>
    </w:pPr>
  </w:style>
  <w:style w:type="paragraph" w:styleId="BackgroundSubclause2" w:customStyle="1">
    <w:name w:val="Background Subclause2"/>
    <w:basedOn w:val="Background"/>
    <w:qFormat/>
    <w:rsid w:val="001C77A7"/>
    <w:pPr>
      <w:numPr>
        <w:ilvl w:val="3"/>
      </w:numPr>
    </w:pPr>
  </w:style>
  <w:style w:type="paragraph" w:styleId="HeadingLevel2CQA" w:customStyle="1">
    <w:name w:val="Heading Level 2 CQA"/>
    <w:basedOn w:val="HeadingLevel2"/>
    <w:qFormat/>
    <w:rsid w:val="001C77A7"/>
  </w:style>
  <w:style w:type="paragraph" w:styleId="ClauseBullet1" w:customStyle="1">
    <w:name w:val="Clause Bullet 1"/>
    <w:basedOn w:val="ParaClause"/>
    <w:qFormat/>
    <w:rsid w:val="001C77A7"/>
    <w:pPr>
      <w:numPr>
        <w:numId w:val="16"/>
      </w:numPr>
      <w:ind w:left="1077" w:hanging="357"/>
      <w:outlineLvl w:val="0"/>
    </w:pPr>
  </w:style>
  <w:style w:type="paragraph" w:styleId="ClauseBullet2" w:customStyle="1">
    <w:name w:val="Clause Bullet 2"/>
    <w:basedOn w:val="ParaClause"/>
    <w:qFormat/>
    <w:rsid w:val="001C77A7"/>
    <w:pPr>
      <w:numPr>
        <w:numId w:val="17"/>
      </w:numPr>
      <w:ind w:left="1434" w:hanging="357"/>
      <w:outlineLvl w:val="1"/>
    </w:pPr>
  </w:style>
  <w:style w:type="paragraph" w:styleId="subclause1Bullet1" w:customStyle="1">
    <w:name w:val="subclause 1 Bullet 1"/>
    <w:basedOn w:val="Parasubclause1"/>
    <w:qFormat/>
    <w:rsid w:val="001C77A7"/>
    <w:pPr>
      <w:numPr>
        <w:numId w:val="18"/>
      </w:numPr>
      <w:ind w:left="1077" w:hanging="357"/>
    </w:pPr>
  </w:style>
  <w:style w:type="paragraph" w:styleId="subclause2Bullet1" w:customStyle="1">
    <w:name w:val="subclause 2 Bullet 1"/>
    <w:basedOn w:val="Parasubclause2"/>
    <w:qFormat/>
    <w:rsid w:val="001C77A7"/>
    <w:pPr>
      <w:numPr>
        <w:numId w:val="20"/>
      </w:numPr>
      <w:ind w:left="1434" w:hanging="357"/>
    </w:pPr>
  </w:style>
  <w:style w:type="paragraph" w:styleId="subclause3Bullet1" w:customStyle="1">
    <w:name w:val="subclause 3 Bullet 1"/>
    <w:basedOn w:val="Parasubclause3"/>
    <w:qFormat/>
    <w:rsid w:val="001C77A7"/>
    <w:pPr>
      <w:numPr>
        <w:numId w:val="19"/>
      </w:numPr>
      <w:ind w:left="2273" w:hanging="357"/>
    </w:pPr>
  </w:style>
  <w:style w:type="paragraph" w:styleId="subclause1Bullet2" w:customStyle="1">
    <w:name w:val="subclause 1 Bullet 2"/>
    <w:basedOn w:val="Parasubclause1"/>
    <w:qFormat/>
    <w:rsid w:val="001C77A7"/>
    <w:pPr>
      <w:numPr>
        <w:numId w:val="21"/>
      </w:numPr>
      <w:ind w:left="1434" w:hanging="357"/>
    </w:pPr>
  </w:style>
  <w:style w:type="paragraph" w:styleId="subclause2Bullet2" w:customStyle="1">
    <w:name w:val="subclause 2 Bullet 2"/>
    <w:basedOn w:val="Parasubclause2"/>
    <w:qFormat/>
    <w:rsid w:val="001C77A7"/>
    <w:pPr>
      <w:numPr>
        <w:numId w:val="22"/>
      </w:numPr>
      <w:ind w:left="2273" w:hanging="357"/>
    </w:pPr>
  </w:style>
  <w:style w:type="paragraph" w:styleId="subclause3Bullet2" w:customStyle="1">
    <w:name w:val="subclause 3 Bullet 2"/>
    <w:basedOn w:val="Parasubclause3"/>
    <w:qFormat/>
    <w:rsid w:val="001C77A7"/>
    <w:pPr>
      <w:numPr>
        <w:numId w:val="23"/>
      </w:numPr>
      <w:ind w:left="2982" w:hanging="357"/>
    </w:pPr>
  </w:style>
  <w:style w:type="paragraph" w:styleId="DefinedTermBullet" w:customStyle="1">
    <w:name w:val="Defined Term Bullet"/>
    <w:basedOn w:val="DefinedTermPara"/>
    <w:qFormat/>
    <w:rsid w:val="001C77A7"/>
    <w:pPr>
      <w:numPr>
        <w:numId w:val="24"/>
      </w:numPr>
    </w:pPr>
  </w:style>
  <w:style w:type="paragraph" w:styleId="DefinedTermNumber" w:customStyle="1">
    <w:name w:val="Defined Term Number"/>
    <w:basedOn w:val="DefinedTermPara"/>
    <w:qFormat/>
    <w:rsid w:val="001C77A7"/>
    <w:pPr>
      <w:numPr>
        <w:ilvl w:val="1"/>
      </w:numPr>
    </w:pPr>
  </w:style>
  <w:style w:type="paragraph" w:styleId="AdditionalTitle" w:customStyle="1">
    <w:name w:val="Additional Title"/>
    <w:basedOn w:val="Paragraph"/>
    <w:qFormat/>
    <w:rsid w:val="001C77A7"/>
    <w:pPr>
      <w:jc w:val="left"/>
    </w:pPr>
    <w:rPr>
      <w:b/>
      <w:sz w:val="24"/>
    </w:rPr>
  </w:style>
  <w:style w:type="character" w:styleId="error" w:customStyle="1">
    <w:name w:val="error"/>
    <w:basedOn w:val="DefaultParagraphFont"/>
    <w:rsid w:val="001C77A7"/>
    <w:rPr>
      <w:rFonts w:ascii="Arial" w:hAnsi="Arial" w:eastAsia="Arial" w:cs="Arial"/>
      <w:color w:val="000000"/>
    </w:rPr>
  </w:style>
  <w:style w:type="paragraph" w:styleId="NoNumUntitledsubclause1" w:customStyle="1">
    <w:name w:val="No Num Untitled subclause 1"/>
    <w:basedOn w:val="Untitledsubclause1"/>
    <w:qFormat/>
    <w:rsid w:val="001C77A7"/>
    <w:pPr>
      <w:numPr>
        <w:ilvl w:val="0"/>
        <w:numId w:val="0"/>
      </w:numPr>
      <w:ind w:left="720"/>
    </w:pPr>
  </w:style>
  <w:style w:type="paragraph" w:styleId="BackgroundParaClause" w:customStyle="1">
    <w:name w:val="Background Para Clause"/>
    <w:basedOn w:val="Background"/>
    <w:qFormat/>
    <w:rsid w:val="001C77A7"/>
    <w:pPr>
      <w:numPr>
        <w:numId w:val="0"/>
      </w:numPr>
    </w:pPr>
  </w:style>
  <w:style w:type="paragraph" w:styleId="BackgroundParaSubclause1" w:customStyle="1">
    <w:name w:val="Background Para Subclause1"/>
    <w:basedOn w:val="BackgroundSubclause1"/>
    <w:qFormat/>
    <w:rsid w:val="001C77A7"/>
    <w:pPr>
      <w:numPr>
        <w:ilvl w:val="0"/>
        <w:numId w:val="0"/>
      </w:numPr>
      <w:ind w:left="994"/>
    </w:pPr>
    <w:rPr>
      <w:lang w:val="en-US"/>
    </w:rPr>
  </w:style>
  <w:style w:type="paragraph" w:styleId="BackgroundParaSubclause2" w:customStyle="1">
    <w:name w:val="Background Para Subclause2"/>
    <w:basedOn w:val="BackgroundSubclause2"/>
    <w:qFormat/>
    <w:rsid w:val="001C77A7"/>
    <w:pPr>
      <w:numPr>
        <w:ilvl w:val="0"/>
        <w:numId w:val="0"/>
      </w:numPr>
      <w:ind w:left="1701"/>
    </w:pPr>
    <w:rPr>
      <w:lang w:val="en-US"/>
    </w:rPr>
  </w:style>
  <w:style w:type="paragraph" w:styleId="ClauseBulletPara" w:customStyle="1">
    <w:name w:val="Clause Bullet Para"/>
    <w:basedOn w:val="ClauseBullet1"/>
    <w:qFormat/>
    <w:rsid w:val="001C77A7"/>
    <w:pPr>
      <w:numPr>
        <w:numId w:val="0"/>
      </w:numPr>
      <w:ind w:left="1080"/>
    </w:pPr>
    <w:rPr>
      <w:lang w:val="en-US"/>
    </w:rPr>
  </w:style>
  <w:style w:type="paragraph" w:styleId="ClauseBullet2Para" w:customStyle="1">
    <w:name w:val="Clause Bullet 2 Para"/>
    <w:basedOn w:val="ClauseBullet2"/>
    <w:qFormat/>
    <w:rsid w:val="001C77A7"/>
    <w:pPr>
      <w:numPr>
        <w:numId w:val="0"/>
      </w:numPr>
      <w:ind w:left="1440"/>
    </w:pPr>
    <w:rPr>
      <w:lang w:val="en-US"/>
    </w:rPr>
  </w:style>
  <w:style w:type="paragraph" w:styleId="ACTJurisdictionCheckList" w:customStyle="1">
    <w:name w:val="ACTJurisdictionCheckList"/>
    <w:basedOn w:val="Normal"/>
    <w:rsid w:val="001C77A7"/>
    <w:pPr>
      <w:spacing w:after="120" w:line="300" w:lineRule="atLeast"/>
    </w:pPr>
    <w:rPr>
      <w:rFonts w:eastAsia="Arial Unicode MS"/>
      <w:b/>
      <w:sz w:val="28"/>
    </w:rPr>
  </w:style>
  <w:style w:type="paragraph" w:styleId="JurisdictionDraftingnoteTitle" w:customStyle="1">
    <w:name w:val="Jurisdiction Draftingnote Title"/>
    <w:basedOn w:val="DraftingnoteTitle"/>
    <w:qFormat/>
    <w:rsid w:val="001C77A7"/>
  </w:style>
  <w:style w:type="paragraph" w:styleId="ScheduleTitleClause" w:customStyle="1">
    <w:name w:val="Schedule Title Clause"/>
    <w:basedOn w:val="Normal"/>
    <w:rsid w:val="001C77A7"/>
    <w:pPr>
      <w:keepNext/>
      <w:numPr>
        <w:ilvl w:val="2"/>
        <w:numId w:val="39"/>
      </w:numPr>
      <w:spacing w:before="240" w:after="240" w:line="300" w:lineRule="atLeast"/>
      <w:jc w:val="both"/>
      <w:outlineLvl w:val="0"/>
    </w:pPr>
    <w:rPr>
      <w:rFonts w:eastAsia="Arial Unicode MS"/>
      <w:b/>
      <w:kern w:val="28"/>
      <w:szCs w:val="20"/>
      <w:lang w:eastAsia="en-US"/>
    </w:rPr>
  </w:style>
  <w:style w:type="paragraph" w:styleId="ScheduleUntitledsubclause1" w:customStyle="1">
    <w:name w:val="Schedule Untitled subclause 1"/>
    <w:basedOn w:val="Normal"/>
    <w:rsid w:val="001C77A7"/>
    <w:pPr>
      <w:numPr>
        <w:ilvl w:val="3"/>
        <w:numId w:val="39"/>
      </w:numPr>
      <w:spacing w:before="280" w:after="120" w:line="300" w:lineRule="atLeast"/>
      <w:jc w:val="both"/>
      <w:outlineLvl w:val="1"/>
    </w:pPr>
    <w:rPr>
      <w:rFonts w:eastAsia="Arial Unicode MS"/>
      <w:szCs w:val="20"/>
      <w:lang w:eastAsia="en-US"/>
    </w:rPr>
  </w:style>
  <w:style w:type="paragraph" w:styleId="ScheduleUntitledsubclause2" w:customStyle="1">
    <w:name w:val="Schedule Untitled subclause 2"/>
    <w:basedOn w:val="Normal"/>
    <w:rsid w:val="001C77A7"/>
    <w:pPr>
      <w:numPr>
        <w:ilvl w:val="4"/>
        <w:numId w:val="39"/>
      </w:numPr>
      <w:spacing w:after="120" w:line="300" w:lineRule="atLeast"/>
      <w:jc w:val="both"/>
      <w:outlineLvl w:val="2"/>
    </w:pPr>
    <w:rPr>
      <w:rFonts w:eastAsia="Arial Unicode MS"/>
      <w:szCs w:val="20"/>
      <w:lang w:eastAsia="en-US"/>
    </w:rPr>
  </w:style>
  <w:style w:type="paragraph" w:styleId="ScheduleUntitledsubclause3" w:customStyle="1">
    <w:name w:val="Schedule Untitled subclause 3"/>
    <w:basedOn w:val="Normal"/>
    <w:rsid w:val="001C77A7"/>
    <w:pPr>
      <w:numPr>
        <w:ilvl w:val="5"/>
        <w:numId w:val="39"/>
      </w:numPr>
      <w:tabs>
        <w:tab w:val="left" w:pos="2261"/>
      </w:tabs>
      <w:spacing w:after="120" w:line="300" w:lineRule="atLeast"/>
      <w:jc w:val="both"/>
      <w:outlineLvl w:val="3"/>
    </w:pPr>
    <w:rPr>
      <w:rFonts w:eastAsia="Arial Unicode MS"/>
      <w:szCs w:val="20"/>
      <w:lang w:eastAsia="en-US"/>
    </w:rPr>
  </w:style>
  <w:style w:type="paragraph" w:styleId="ScheduleUntitledsubclause4" w:customStyle="1">
    <w:name w:val="Schedule Untitled subclause 4"/>
    <w:basedOn w:val="Normal"/>
    <w:rsid w:val="001C77A7"/>
    <w:pPr>
      <w:spacing w:after="120" w:line="300" w:lineRule="atLeast"/>
      <w:jc w:val="both"/>
      <w:outlineLvl w:val="4"/>
    </w:pPr>
    <w:rPr>
      <w:rFonts w:eastAsia="Arial Unicode MS"/>
      <w:szCs w:val="20"/>
      <w:lang w:eastAsia="en-US"/>
    </w:rPr>
  </w:style>
  <w:style w:type="paragraph" w:styleId="BulletListPattern1" w:customStyle="1">
    <w:name w:val="Bullet List Pattern 1"/>
    <w:basedOn w:val="BulletList1"/>
    <w:qFormat/>
    <w:rsid w:val="001C77A7"/>
    <w:pPr>
      <w:shd w:val="clear" w:color="auto" w:fill="D9D9D9"/>
      <w:spacing w:after="120" w:line="240" w:lineRule="auto"/>
      <w:ind w:left="714" w:hanging="357"/>
    </w:pPr>
  </w:style>
  <w:style w:type="paragraph" w:styleId="BulletListPattern2" w:customStyle="1">
    <w:name w:val="Bullet List Pattern 2"/>
    <w:basedOn w:val="BulletList2"/>
    <w:qFormat/>
    <w:rsid w:val="001C77A7"/>
    <w:pPr>
      <w:shd w:val="clear" w:color="auto" w:fill="D9D9D9"/>
      <w:ind w:left="1077"/>
    </w:pPr>
  </w:style>
  <w:style w:type="paragraph" w:styleId="ScheduleUntitledClause" w:customStyle="1">
    <w:name w:val="Schedule Untitled Clause"/>
    <w:basedOn w:val="ScheduleTitleClause"/>
    <w:qFormat/>
    <w:rsid w:val="001C77A7"/>
    <w:pPr>
      <w:spacing w:before="120"/>
    </w:pPr>
    <w:rPr>
      <w:b w:val="0"/>
    </w:rPr>
  </w:style>
  <w:style w:type="paragraph" w:styleId="EmptyClausePara" w:customStyle="1">
    <w:name w:val="Empty Clause Para"/>
    <w:basedOn w:val="IgnoredSpacing"/>
    <w:qFormat/>
    <w:rsid w:val="001C77A7"/>
  </w:style>
  <w:style w:type="paragraph" w:styleId="ListParagraph">
    <w:name w:val="List Paragraph"/>
    <w:basedOn w:val="Normal"/>
    <w:uiPriority w:val="34"/>
    <w:qFormat/>
    <w:rsid w:val="001C77A7"/>
    <w:pPr>
      <w:ind w:left="720"/>
      <w:contextualSpacing/>
    </w:pPr>
  </w:style>
  <w:style w:type="paragraph" w:styleId="ScheduleTitlesubclause1" w:customStyle="1">
    <w:name w:val="Schedule Title subclause1"/>
    <w:basedOn w:val="ScheduleUntitledsubclause1"/>
    <w:qFormat/>
    <w:rsid w:val="001C77A7"/>
    <w:pPr>
      <w:spacing w:before="120"/>
    </w:pPr>
    <w:rPr>
      <w:b/>
    </w:rPr>
  </w:style>
  <w:style w:type="paragraph" w:styleId="835FF0B0D5344FE4A8EE41F54AA7E17C16" w:customStyle="1">
    <w:name w:val="835FF0B0D5344FE4A8EE41F54AA7E17C16"/>
    <w:rsid w:val="002B4887"/>
    <w:pPr>
      <w:spacing w:after="120"/>
    </w:pPr>
    <w:rPr>
      <w:rFonts w:ascii="Arial" w:hAnsi="Arial"/>
      <w:color w:val="000000"/>
      <w:sz w:val="24"/>
      <w:szCs w:val="24"/>
      <w:lang w:val="en-US" w:eastAsia="en-US"/>
    </w:rPr>
  </w:style>
  <w:style w:type="character" w:styleId="CommentReference">
    <w:name w:val="annotation reference"/>
    <w:basedOn w:val="DefaultParagraphFont"/>
    <w:uiPriority w:val="99"/>
    <w:semiHidden/>
    <w:unhideWhenUsed/>
    <w:rsid w:val="00D56819"/>
    <w:rPr>
      <w:rFonts w:ascii="Arial" w:hAnsi="Arial" w:eastAsia="Arial" w:cs="Arial"/>
      <w:color w:val="000000"/>
      <w:sz w:val="16"/>
      <w:szCs w:val="16"/>
    </w:rPr>
  </w:style>
  <w:style w:type="paragraph" w:styleId="CommentText">
    <w:name w:val="annotation text"/>
    <w:basedOn w:val="Normal"/>
    <w:link w:val="CommentTextChar"/>
    <w:uiPriority w:val="99"/>
    <w:semiHidden/>
    <w:unhideWhenUsed/>
    <w:rsid w:val="00D56819"/>
    <w:pPr>
      <w:spacing w:line="240" w:lineRule="auto"/>
    </w:pPr>
    <w:rPr>
      <w:sz w:val="20"/>
      <w:szCs w:val="20"/>
    </w:rPr>
  </w:style>
  <w:style w:type="character" w:styleId="CommentTextChar" w:customStyle="1">
    <w:name w:val="Comment Text Char"/>
    <w:basedOn w:val="DefaultParagraphFont"/>
    <w:link w:val="CommentText"/>
    <w:uiPriority w:val="99"/>
    <w:semiHidden/>
    <w:rsid w:val="00D56819"/>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D56819"/>
    <w:rPr>
      <w:b/>
      <w:bCs/>
    </w:rPr>
  </w:style>
  <w:style w:type="character" w:styleId="CommentSubjectChar" w:customStyle="1">
    <w:name w:val="Comment Subject Char"/>
    <w:basedOn w:val="CommentTextChar"/>
    <w:link w:val="CommentSubject"/>
    <w:uiPriority w:val="99"/>
    <w:semiHidden/>
    <w:rsid w:val="00D56819"/>
    <w:rPr>
      <w:rFonts w:ascii="Arial" w:hAnsi="Arial" w:eastAsia="Arial" w:cs="Arial"/>
      <w:b/>
      <w:bCs/>
      <w:color w:val="000000"/>
      <w:sz w:val="20"/>
      <w:szCs w:val="20"/>
    </w:rPr>
  </w:style>
  <w:style w:type="character" w:styleId="UnresolvedMention" w:customStyle="1">
    <w:name w:val="Unresolved Mention"/>
    <w:basedOn w:val="DefaultParagraphFont"/>
    <w:uiPriority w:val="99"/>
    <w:semiHidden/>
    <w:unhideWhenUsed/>
    <w:rsid w:val="008B4AD0"/>
    <w:rPr>
      <w:rFonts w:ascii="Arial" w:hAnsi="Arial" w:eastAsia="Arial" w:cs="Arial"/>
      <w:color w:val="000000"/>
      <w:shd w:val="clear" w:color="auto" w:fill="E6E6E6"/>
    </w:rPr>
  </w:style>
  <w:style w:type="paragraph" w:styleId="SectorSpecificNoteTitle" w:customStyle="1">
    <w:name w:val="Sector Specific Note Title"/>
    <w:basedOn w:val="JurisdictionDraftingnoteTitle"/>
    <w:qFormat/>
    <w:rsid w:val="001C77A7"/>
  </w:style>
  <w:style w:type="table" w:styleId="ShadedTable1" w:customStyle="1">
    <w:name w:val="Shaded Table1"/>
    <w:basedOn w:val="TableNormal"/>
    <w:uiPriority w:val="99"/>
    <w:rsid w:val="001C77A7"/>
    <w:tblPr>
      <w:tblBorders>
        <w:top w:val="single" w:color="auto" w:sz="4" w:space="0"/>
        <w:left w:val="single" w:color="auto" w:sz="4" w:space="0"/>
        <w:bottom w:val="single" w:color="auto" w:sz="4" w:space="0"/>
        <w:right w:val="single" w:color="auto" w:sz="4" w:space="0"/>
        <w:insideH w:val="nil"/>
        <w:insideV w:val="nil"/>
      </w:tblBorders>
    </w:tblPr>
    <w:tcPr>
      <w:shd w:val="clear" w:color="auto" w:fill="EEECE1"/>
    </w:tcPr>
  </w:style>
  <w:style w:type="paragraph" w:styleId="IgnoredEmptysubclause" w:customStyle="1">
    <w:name w:val="Ignored Empty subclause"/>
    <w:basedOn w:val="Normal"/>
    <w:link w:val="IgnoredEmptysubclauseChar"/>
    <w:qFormat/>
    <w:rsid w:val="001C77A7"/>
  </w:style>
  <w:style w:type="character" w:styleId="IgnoredEmptysubclauseChar" w:customStyle="1">
    <w:name w:val="Ignored Empty subclause Char"/>
    <w:basedOn w:val="DefaultParagraphFont"/>
    <w:link w:val="IgnoredEmptysubclause"/>
    <w:rsid w:val="001C77A7"/>
    <w:rPr>
      <w:rFonts w:ascii="Arial" w:hAnsi="Arial" w:eastAsia="Arial" w:cs="Arial"/>
      <w:color w:val="000000"/>
    </w:rPr>
  </w:style>
  <w:style w:type="paragraph" w:styleId="6B1115FCC3DC4C6AB2CF846F0C50B663" w:customStyle="1">
    <w:name w:val="6B1115FCC3DC4C6AB2CF846F0C50B663"/>
    <w:rsid w:val="00C72EBE"/>
    <w:pPr>
      <w:spacing w:after="200" w:line="276" w:lineRule="auto"/>
    </w:pPr>
    <w:rPr>
      <w:color w:val="000000"/>
      <w:sz w:val="22"/>
      <w:szCs w:val="22"/>
    </w:rPr>
  </w:style>
  <w:style w:type="numbering" w:styleId="ScheduleListStyle" w:customStyle="1">
    <w:name w:val="ScheduleListStyle"/>
    <w:pPr>
      <w:numPr>
        <w:numId w:val="48"/>
      </w:numPr>
    </w:pPr>
  </w:style>
  <w:style w:type="paragraph" w:styleId="TOC1">
    <w:name w:val="toc 1"/>
    <w:basedOn w:val="Normal"/>
    <w:next w:val="Normal"/>
    <w:autoRedefine/>
    <w:uiPriority w:val="39"/>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12866">
      <w:bodyDiv w:val="1"/>
      <w:marLeft w:val="0"/>
      <w:marRight w:val="0"/>
      <w:marTop w:val="0"/>
      <w:marBottom w:val="0"/>
      <w:divBdr>
        <w:top w:val="none" w:sz="0" w:space="0" w:color="auto"/>
        <w:left w:val="none" w:sz="0" w:space="0" w:color="auto"/>
        <w:bottom w:val="none" w:sz="0" w:space="0" w:color="auto"/>
        <w:right w:val="none" w:sz="0" w:space="0" w:color="auto"/>
      </w:divBdr>
    </w:div>
    <w:div w:id="791366932">
      <w:bodyDiv w:val="1"/>
      <w:marLeft w:val="0"/>
      <w:marRight w:val="0"/>
      <w:marTop w:val="0"/>
      <w:marBottom w:val="0"/>
      <w:divBdr>
        <w:top w:val="none" w:sz="0" w:space="0" w:color="auto"/>
        <w:left w:val="none" w:sz="0" w:space="0" w:color="auto"/>
        <w:bottom w:val="none" w:sz="0" w:space="0" w:color="auto"/>
        <w:right w:val="none" w:sz="0" w:space="0" w:color="auto"/>
      </w:divBdr>
    </w:div>
    <w:div w:id="963148479">
      <w:bodyDiv w:val="1"/>
      <w:marLeft w:val="0"/>
      <w:marRight w:val="0"/>
      <w:marTop w:val="0"/>
      <w:marBottom w:val="0"/>
      <w:divBdr>
        <w:top w:val="none" w:sz="0" w:space="0" w:color="auto"/>
        <w:left w:val="none" w:sz="0" w:space="0" w:color="auto"/>
        <w:bottom w:val="none" w:sz="0" w:space="0" w:color="auto"/>
        <w:right w:val="none" w:sz="0" w:space="0" w:color="auto"/>
      </w:divBdr>
      <w:divsChild>
        <w:div w:id="77100546">
          <w:marLeft w:val="0"/>
          <w:marRight w:val="0"/>
          <w:marTop w:val="0"/>
          <w:marBottom w:val="0"/>
          <w:divBdr>
            <w:top w:val="none" w:sz="0" w:space="0" w:color="auto"/>
            <w:left w:val="none" w:sz="0" w:space="0" w:color="auto"/>
            <w:bottom w:val="none" w:sz="0" w:space="0" w:color="auto"/>
            <w:right w:val="none" w:sz="0" w:space="0" w:color="auto"/>
          </w:divBdr>
        </w:div>
        <w:div w:id="279578089">
          <w:marLeft w:val="0"/>
          <w:marRight w:val="0"/>
          <w:marTop w:val="0"/>
          <w:marBottom w:val="0"/>
          <w:divBdr>
            <w:top w:val="none" w:sz="0" w:space="0" w:color="auto"/>
            <w:left w:val="none" w:sz="0" w:space="0" w:color="auto"/>
            <w:bottom w:val="none" w:sz="0" w:space="0" w:color="auto"/>
            <w:right w:val="none" w:sz="0" w:space="0" w:color="auto"/>
          </w:divBdr>
        </w:div>
        <w:div w:id="464129038">
          <w:marLeft w:val="0"/>
          <w:marRight w:val="0"/>
          <w:marTop w:val="0"/>
          <w:marBottom w:val="0"/>
          <w:divBdr>
            <w:top w:val="none" w:sz="0" w:space="0" w:color="auto"/>
            <w:left w:val="none" w:sz="0" w:space="0" w:color="auto"/>
            <w:bottom w:val="none" w:sz="0" w:space="0" w:color="auto"/>
            <w:right w:val="none" w:sz="0" w:space="0" w:color="auto"/>
          </w:divBdr>
        </w:div>
        <w:div w:id="677195474">
          <w:marLeft w:val="0"/>
          <w:marRight w:val="0"/>
          <w:marTop w:val="0"/>
          <w:marBottom w:val="0"/>
          <w:divBdr>
            <w:top w:val="none" w:sz="0" w:space="0" w:color="auto"/>
            <w:left w:val="none" w:sz="0" w:space="0" w:color="auto"/>
            <w:bottom w:val="none" w:sz="0" w:space="0" w:color="auto"/>
            <w:right w:val="none" w:sz="0" w:space="0" w:color="auto"/>
          </w:divBdr>
        </w:div>
        <w:div w:id="779255520">
          <w:marLeft w:val="0"/>
          <w:marRight w:val="0"/>
          <w:marTop w:val="0"/>
          <w:marBottom w:val="0"/>
          <w:divBdr>
            <w:top w:val="none" w:sz="0" w:space="0" w:color="auto"/>
            <w:left w:val="none" w:sz="0" w:space="0" w:color="auto"/>
            <w:bottom w:val="none" w:sz="0" w:space="0" w:color="auto"/>
            <w:right w:val="none" w:sz="0" w:space="0" w:color="auto"/>
          </w:divBdr>
        </w:div>
        <w:div w:id="844856151">
          <w:marLeft w:val="0"/>
          <w:marRight w:val="0"/>
          <w:marTop w:val="0"/>
          <w:marBottom w:val="0"/>
          <w:divBdr>
            <w:top w:val="none" w:sz="0" w:space="0" w:color="auto"/>
            <w:left w:val="none" w:sz="0" w:space="0" w:color="auto"/>
            <w:bottom w:val="none" w:sz="0" w:space="0" w:color="auto"/>
            <w:right w:val="none" w:sz="0" w:space="0" w:color="auto"/>
          </w:divBdr>
        </w:div>
        <w:div w:id="865365368">
          <w:marLeft w:val="0"/>
          <w:marRight w:val="0"/>
          <w:marTop w:val="0"/>
          <w:marBottom w:val="0"/>
          <w:divBdr>
            <w:top w:val="none" w:sz="0" w:space="0" w:color="auto"/>
            <w:left w:val="none" w:sz="0" w:space="0" w:color="auto"/>
            <w:bottom w:val="none" w:sz="0" w:space="0" w:color="auto"/>
            <w:right w:val="none" w:sz="0" w:space="0" w:color="auto"/>
          </w:divBdr>
        </w:div>
        <w:div w:id="866215519">
          <w:marLeft w:val="0"/>
          <w:marRight w:val="0"/>
          <w:marTop w:val="0"/>
          <w:marBottom w:val="0"/>
          <w:divBdr>
            <w:top w:val="none" w:sz="0" w:space="0" w:color="auto"/>
            <w:left w:val="none" w:sz="0" w:space="0" w:color="auto"/>
            <w:bottom w:val="none" w:sz="0" w:space="0" w:color="auto"/>
            <w:right w:val="none" w:sz="0" w:space="0" w:color="auto"/>
          </w:divBdr>
        </w:div>
        <w:div w:id="1021736816">
          <w:marLeft w:val="0"/>
          <w:marRight w:val="0"/>
          <w:marTop w:val="0"/>
          <w:marBottom w:val="0"/>
          <w:divBdr>
            <w:top w:val="none" w:sz="0" w:space="0" w:color="auto"/>
            <w:left w:val="none" w:sz="0" w:space="0" w:color="auto"/>
            <w:bottom w:val="none" w:sz="0" w:space="0" w:color="auto"/>
            <w:right w:val="none" w:sz="0" w:space="0" w:color="auto"/>
          </w:divBdr>
        </w:div>
        <w:div w:id="1292128016">
          <w:marLeft w:val="0"/>
          <w:marRight w:val="0"/>
          <w:marTop w:val="0"/>
          <w:marBottom w:val="0"/>
          <w:divBdr>
            <w:top w:val="none" w:sz="0" w:space="0" w:color="auto"/>
            <w:left w:val="none" w:sz="0" w:space="0" w:color="auto"/>
            <w:bottom w:val="none" w:sz="0" w:space="0" w:color="auto"/>
            <w:right w:val="none" w:sz="0" w:space="0" w:color="auto"/>
          </w:divBdr>
        </w:div>
        <w:div w:id="1332216873">
          <w:marLeft w:val="0"/>
          <w:marRight w:val="0"/>
          <w:marTop w:val="0"/>
          <w:marBottom w:val="0"/>
          <w:divBdr>
            <w:top w:val="none" w:sz="0" w:space="0" w:color="auto"/>
            <w:left w:val="none" w:sz="0" w:space="0" w:color="auto"/>
            <w:bottom w:val="none" w:sz="0" w:space="0" w:color="auto"/>
            <w:right w:val="none" w:sz="0" w:space="0" w:color="auto"/>
          </w:divBdr>
        </w:div>
        <w:div w:id="1390302138">
          <w:marLeft w:val="0"/>
          <w:marRight w:val="0"/>
          <w:marTop w:val="0"/>
          <w:marBottom w:val="0"/>
          <w:divBdr>
            <w:top w:val="none" w:sz="0" w:space="0" w:color="auto"/>
            <w:left w:val="none" w:sz="0" w:space="0" w:color="auto"/>
            <w:bottom w:val="none" w:sz="0" w:space="0" w:color="auto"/>
            <w:right w:val="none" w:sz="0" w:space="0" w:color="auto"/>
          </w:divBdr>
        </w:div>
        <w:div w:id="1414743126">
          <w:marLeft w:val="0"/>
          <w:marRight w:val="0"/>
          <w:marTop w:val="0"/>
          <w:marBottom w:val="0"/>
          <w:divBdr>
            <w:top w:val="none" w:sz="0" w:space="0" w:color="auto"/>
            <w:left w:val="none" w:sz="0" w:space="0" w:color="auto"/>
            <w:bottom w:val="none" w:sz="0" w:space="0" w:color="auto"/>
            <w:right w:val="none" w:sz="0" w:space="0" w:color="auto"/>
          </w:divBdr>
        </w:div>
        <w:div w:id="1616673817">
          <w:marLeft w:val="0"/>
          <w:marRight w:val="0"/>
          <w:marTop w:val="0"/>
          <w:marBottom w:val="0"/>
          <w:divBdr>
            <w:top w:val="none" w:sz="0" w:space="0" w:color="auto"/>
            <w:left w:val="none" w:sz="0" w:space="0" w:color="auto"/>
            <w:bottom w:val="none" w:sz="0" w:space="0" w:color="auto"/>
            <w:right w:val="none" w:sz="0" w:space="0" w:color="auto"/>
          </w:divBdr>
        </w:div>
        <w:div w:id="1618219132">
          <w:marLeft w:val="0"/>
          <w:marRight w:val="0"/>
          <w:marTop w:val="0"/>
          <w:marBottom w:val="0"/>
          <w:divBdr>
            <w:top w:val="none" w:sz="0" w:space="0" w:color="auto"/>
            <w:left w:val="none" w:sz="0" w:space="0" w:color="auto"/>
            <w:bottom w:val="none" w:sz="0" w:space="0" w:color="auto"/>
            <w:right w:val="none" w:sz="0" w:space="0" w:color="auto"/>
          </w:divBdr>
        </w:div>
        <w:div w:id="1683970270">
          <w:marLeft w:val="0"/>
          <w:marRight w:val="0"/>
          <w:marTop w:val="0"/>
          <w:marBottom w:val="0"/>
          <w:divBdr>
            <w:top w:val="none" w:sz="0" w:space="0" w:color="auto"/>
            <w:left w:val="none" w:sz="0" w:space="0" w:color="auto"/>
            <w:bottom w:val="none" w:sz="0" w:space="0" w:color="auto"/>
            <w:right w:val="none" w:sz="0" w:space="0" w:color="auto"/>
          </w:divBdr>
        </w:div>
        <w:div w:id="1732850514">
          <w:marLeft w:val="0"/>
          <w:marRight w:val="0"/>
          <w:marTop w:val="0"/>
          <w:marBottom w:val="0"/>
          <w:divBdr>
            <w:top w:val="none" w:sz="0" w:space="0" w:color="auto"/>
            <w:left w:val="none" w:sz="0" w:space="0" w:color="auto"/>
            <w:bottom w:val="none" w:sz="0" w:space="0" w:color="auto"/>
            <w:right w:val="none" w:sz="0" w:space="0" w:color="auto"/>
          </w:divBdr>
        </w:div>
        <w:div w:id="1791781304">
          <w:marLeft w:val="0"/>
          <w:marRight w:val="0"/>
          <w:marTop w:val="0"/>
          <w:marBottom w:val="0"/>
          <w:divBdr>
            <w:top w:val="none" w:sz="0" w:space="0" w:color="auto"/>
            <w:left w:val="none" w:sz="0" w:space="0" w:color="auto"/>
            <w:bottom w:val="none" w:sz="0" w:space="0" w:color="auto"/>
            <w:right w:val="none" w:sz="0" w:space="0" w:color="auto"/>
          </w:divBdr>
        </w:div>
        <w:div w:id="1933080961">
          <w:marLeft w:val="0"/>
          <w:marRight w:val="0"/>
          <w:marTop w:val="0"/>
          <w:marBottom w:val="0"/>
          <w:divBdr>
            <w:top w:val="none" w:sz="0" w:space="0" w:color="auto"/>
            <w:left w:val="none" w:sz="0" w:space="0" w:color="auto"/>
            <w:bottom w:val="none" w:sz="0" w:space="0" w:color="auto"/>
            <w:right w:val="none" w:sz="0" w:space="0" w:color="auto"/>
          </w:divBdr>
        </w:div>
        <w:div w:id="1993677721">
          <w:marLeft w:val="0"/>
          <w:marRight w:val="0"/>
          <w:marTop w:val="0"/>
          <w:marBottom w:val="0"/>
          <w:divBdr>
            <w:top w:val="none" w:sz="0" w:space="0" w:color="auto"/>
            <w:left w:val="none" w:sz="0" w:space="0" w:color="auto"/>
            <w:bottom w:val="none" w:sz="0" w:space="0" w:color="auto"/>
            <w:right w:val="none" w:sz="0" w:space="0" w:color="auto"/>
          </w:divBdr>
        </w:div>
        <w:div w:id="2078892507">
          <w:marLeft w:val="0"/>
          <w:marRight w:val="0"/>
          <w:marTop w:val="0"/>
          <w:marBottom w:val="0"/>
          <w:divBdr>
            <w:top w:val="none" w:sz="0" w:space="0" w:color="auto"/>
            <w:left w:val="none" w:sz="0" w:space="0" w:color="auto"/>
            <w:bottom w:val="none" w:sz="0" w:space="0" w:color="auto"/>
            <w:right w:val="none" w:sz="0" w:space="0" w:color="auto"/>
          </w:divBdr>
        </w:div>
      </w:divsChild>
    </w:div>
    <w:div w:id="1217663688">
      <w:bodyDiv w:val="1"/>
      <w:marLeft w:val="0"/>
      <w:marRight w:val="0"/>
      <w:marTop w:val="0"/>
      <w:marBottom w:val="0"/>
      <w:divBdr>
        <w:top w:val="none" w:sz="0" w:space="0" w:color="auto"/>
        <w:left w:val="none" w:sz="0" w:space="0" w:color="auto"/>
        <w:bottom w:val="none" w:sz="0" w:space="0" w:color="auto"/>
        <w:right w:val="none" w:sz="0" w:space="0" w:color="auto"/>
      </w:divBdr>
    </w:div>
    <w:div w:id="1421025332">
      <w:bodyDiv w:val="1"/>
      <w:marLeft w:val="0"/>
      <w:marRight w:val="0"/>
      <w:marTop w:val="0"/>
      <w:marBottom w:val="0"/>
      <w:divBdr>
        <w:top w:val="none" w:sz="0" w:space="0" w:color="auto"/>
        <w:left w:val="none" w:sz="0" w:space="0" w:color="auto"/>
        <w:bottom w:val="none" w:sz="0" w:space="0" w:color="auto"/>
        <w:right w:val="none" w:sz="0" w:space="0" w:color="auto"/>
      </w:divBdr>
    </w:div>
    <w:div w:id="1699231380">
      <w:bodyDiv w:val="1"/>
      <w:marLeft w:val="0"/>
      <w:marRight w:val="0"/>
      <w:marTop w:val="0"/>
      <w:marBottom w:val="0"/>
      <w:divBdr>
        <w:top w:val="none" w:sz="0" w:space="0" w:color="auto"/>
        <w:left w:val="none" w:sz="0" w:space="0" w:color="auto"/>
        <w:bottom w:val="none" w:sz="0" w:space="0" w:color="auto"/>
        <w:right w:val="none" w:sz="0" w:space="0" w:color="auto"/>
      </w:divBdr>
    </w:div>
    <w:div w:id="1775906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cdm:cachedDataManifest xmlns:cdm="http://schemas.microsoft.com/2004/VisualStudio/Tools/Applications/CachedDataManifest.xsd" cdm:revision="1"/>
</file>

<file path=customXml/item3.xml><?xml version="1.0" encoding="utf-8"?>
<n-document xmlns:xsd="http://www.w3.org/2001/XMLSchema" xmlns:xsi="http://www.w3.org/2001/XMLSchema-instance" guid="0" synced="true" validated="true">
  <n-docbody>
    <standard.doc precedenttype="agreement">
      <prelim>
        <product.name>product.name0</product.name>
        <title>Assured shorthold tenancy agreement</title>
        <author>
          <link href="http://uk.practicallaw.com/about/our-team/uk-property" style="ACTLinkURL">
            <ital>Practical Law Property</ital>
          </link>
        </author>
        <resource.type>Standard documents</resource.type>
        <juris>juris0</juris>
        <juris>juris1</juris>
      </prelim>
      <abstract>
        <para>
          <paratext>An assured shorthold tenancy (AST) agreement. The agreement has been drafted to take account of the Tenant Fees Act 2019 and the unfair terms in consumer contracts provisions of the Consumer Rights Act 2015.</paratext>
        </para>
        <para>
          <paratext>
            See also 
            <link href="2-506-4811" style="ACTLinkPLCtoPLC">
              <ital>Standard document, Letter to landlord client enclosing draft assured shorthold tenancy</ital>
            </link>
            .
          </paratext>
        </para>
        <para>
          <paratext>
            <bold>Note added 26.01.16:</bold>
             The Renting Homes (Wales) Act 2016 is intended to reform the legal basis for renting homes in Wales and will replace ASTs by a new standard contract (modelled on ASTs). The Act received Royal Assent on 18 January 2016 and the main provisions will come into force on a date to be appointed by statutory instrument. For more information, see 
            <link href="3-621-8746" style="ACTLinkPLCtoPLC">
              <ital>Practice note, Overview of the termination provisions in the Renting Homes (Wales) Act 2016</ital>
            </link>
            .
          </paratext>
        </para>
      </abstract>
      <toc.identifier hasToc="true"/>
      <body>
        <drafting.note id="a128955" jurisdiction="">
          <head align="left" preservecase="true">
            <headtext>Useful background information</headtext>
          </head>
          <division id="a208906" level="1">
            <head align="left" preservecase="true">
              <headtext>General information on assured shorthold tenancies</headtext>
            </head>
            <para>
              <paratext>
                For materials on assured shorthold tenancies, including information on their creation and termination and on tenancy deposit schemes, see 
                <link href="7-508-2252" style="ACTLinkPLCtoPLC">
                  <ital>Assured shorthold tenancy toolkit</ital>
                </link>
                , particularly the following Practice notes:
              </paratext>
            </para>
            <list type="bulleted">
              <list.item>
                <para>
                  <paratext>
                    <link href="0-503-9200" style="ACTLinkPLCtoPLC">
                      <ital>Granting an assured shorthold tenancy</ital>
                    </link>
                    .
                  </paratext>
                </para>
              </list.item>
              <list.item>
                <para>
                  <paratext>
                    <link anchor="a125145" href="8-504-1548" style="ACTLinkPLCtoPLC">
                      <ital>Types of residential tenancies: overview: Assured shorthold tenancies</ital>
                    </link>
                    .
                  </paratext>
                </para>
              </list.item>
              <list.item>
                <para>
                  <paratext>
                    <link href="2-503-9275" style="ACTLinkPLCtoPLC">
                      <ital>Ending an assured shorthold tenancy</ital>
                    </link>
                    <ital>.</ital>
                  </paratext>
                </para>
              </list.item>
              <list.item>
                <para>
                  <paratext>
                    <link href="w-011-5974" style="ACTLinkPLCtoPLC">
                      <ital>Tenancies of farm cottages</ital>
                    </link>
                    <ital>.</ital>
                  </paratext>
                </para>
              </list.item>
            </list>
          </division>
          <division id="a1031368" level="1">
            <head align="left" preservecase="true">
              <headtext>Tenant Fees Act 2019</headtext>
            </head>
            <para>
              <paratext>
                The 
                <link href="https://uk.practicallaw.thomsonreuters.com/w-019-3095?originationContext=document&amp;amp;transitionType=PLDocumentLink&amp;amp;contextData=%28sc.Default%29&amp;amp;navId=35DA85B850582A09C970A4388054426E&amp;amp;comp=pluk" style="ACTLinkURL">
                  <ital>Tenant Fees Act 2019</ital>
                </link>
                 (TFA 2019) restricts the type, and amount, of payments that landlords can require from tenants of assured shorthold tenancies in England. The provisions apply to tenancies granted on or after 1 June 2019 (with a grace period of one year for existing tenancies). Landlords can only require tenants to make payments that are expressly permitted by the TFA 2019. A requirement to make any other payment is unenforceable. The agreement has been drafted so that it only requires payments that are permitted by the TFA 2019. For more information, see 
                <link href="w-019-2599" style="ACTLinkPLCtoPLC">
                  <ital>Practice note, Prohibited payments under the Tenant Fees Act 2019</ital>
                </link>
                .
              </paratext>
            </para>
            <division id="a864435" level="2">
              <head align="left" preservecase="true">
                <headtext>Renting Homes (Fees etc) (Wales) Act 2019</headtext>
              </head>
              <para>
                <paratext>
                  The 
                  <link href="https://uk.practicallaw.thomsonreuters.com/w-020-7467" style="ACTLinkURL">
                    <ital>Renting Homes (Fees etc) (Wales) Act 2019</ital>
                  </link>
                   (RHFWA 2019) introduced similar protections to the TFA 2019 for most residential occupiers in the private rented sector in Wales. The majority of the provisions in the RHFWA 2019 came into force on 1 September 2019. Breach of the RHFWA 2019 is an offence and the offender is liable to summary conviction, see 
                  <link anchor="a132103" href="w-020-5209" style="ACTLinkPLCtoPLC">
                    <ital>Practice note, Prohibited payments under the Renting Homes (Fees etc) (Wales) Act 2019: Offences</ital>
                  </link>
                  .
                </paratext>
              </para>
              <para>
                <paratext>
                  The RHFWA 2019 originally applied to any standard occupation contracts entered into on or after the date it comes into force. However, the provisions in the Renting Homes (Wales) Act 2016 that introduce occupation contracts have not yet been brought into force. In the meantime, transitional regulations have been issued to apply most of the provisions of the RHFWA 2019 to assured shorthold tenancies (ASTs) under the HA 1988 (see 
                  <link anchor="a758309" href="w-020-5209" style="ACTLinkPLCtoPLC">
                    <ital>Practice note, Prohibited payments under the Renting Homes (Fees etc) (Wales) Act 2019: Which arrangements do the payment restrictions apply to?</ital>
                  </link>
                  ). For more information on the RHFWA 2019, see 
                  <link href="w-020-5209" style="ACTLinkPLCtoPLC">
                    <ital>Practice note, Prohibited payments under the Renting Homes (Fees etc) (Wales) Act 2019</ital>
                  </link>
                  .
                </paratext>
              </para>
            </division>
          </division>
          <division id="a768806" level="1">
            <head align="left" preservecase="true">
              <headtext>Consumer rights</headtext>
            </head>
            <para>
              <paratext>
                The agreement has been drafted to take account of the unfair terms in consumer contracts provisions of the 
                <link href="0-606-7466" style="ACTLinkPLCtoPLC">
                  <ital>Consumer Rights Act 2015</ital>
                </link>
                 (CRA 2015).
              </paratext>
            </para>
            <para>
              <paratext>With effect from 1 October 2015:</paratext>
            </para>
            <list type="bulleted">
              <list.item>
                <para>
                  <paratext>
                    Unfair terms in consumer contracts are covered by 
                    <link href="0-606-7466" style="ACTLinkPLCtoPLC">
                      <ital>CRA 2015</ital>
                    </link>
                    .
                  </paratext>
                </para>
              </list.item>
              <list.item>
                <para>
                  <paratext>
                    The 
                    <link href="6-508-2455" style="ACTLinkPLCtoPLC">
                      <ital>Unfair Terms in Consumer Contracts Regulations 1999 (SI 1999/2083)</ital>
                    </link>
                     (UTCCR 1999) have been repealed (see 
                    <link href="1-618-4931" style="ACTLinkPLCtoPLC">
                      <ital>Legal update, Consumer Rights Act 2015: third commencement order made</ital>
                    </link>
                    ).
                  </paratext>
                </para>
                <para>
                  <paratext>The new law applies to contracts made on or after 1 October 2015. The previous law continues to apply to older contracts.</paratext>
                </para>
              </list.item>
            </list>
            <para>
              <paratext>
                CRA 2015 applies to tenancy agreements. This was confirmed in relation to UTCCR 1999 by 
                <link href="D-006-6188" style="ACTLinkURL">
                  <ital>London Borough of Newham v Khatun &amp; Ors [2004] EWCA Civ 55</ital>
                </link>
                 (see 
                <link href="4-107-2225" style="ACTLinkPLCtoPLC">
                  <ital>Legal update, Unfair Terms in Consumer Contracts Regulations 1999 do apply to land contracts</ital>
                </link>
                ).
              </paratext>
            </para>
            <para>
              <paratext>CRA 2015 applies where the landlord is acting in the course of a business and the tenant is a natural person acting outside the course of the tenant's business.</paratext>
            </para>
            <para>
              <paratext>The new regime in connection with unfair contract terms that is imposed by CRA 2015 is similar to the previous regime under UTCCR 1999. The main change is that under CRA 2015, even terms that have been individually negotiated are at risk. Where CRA 2015 applies, the courts will not uphold a term that is "unfair". This will be the case whether or not the term has been individually negotiated.</paratext>
            </para>
            <para>
              <paratext>
                Detailed guidance on unfair terms in residential tenancy agreements was published by the Office of Fair Trading (OFT). The Competition and Markets Authority (CMA) adopted this guidance when the OFT was abolished on 1 April 2014 (see 
                <link href="3-502-5334" style="ACTLinkPLCtoPLC">
                  <ital>CMA: Guidance on unfair terms in tenancy agreements</ital>
                </link>
                ) (former CMA guidance). The OFT's power to take enforcement action in relation to unfair terms was transferred to the CMA.
              </paratext>
            </para>
            <para>
              <paratext>The former CMA guidance dealt primarily with potential unfairness in assured and assured shorthold tenancy agreements and was extremely useful. The CMA withdrew the guidance on 2 June 2017 as it did not reflect, or take account of, developments in case law, legislation or practice since its original publication. The former CMA guidance, therefore, must be treated with a degree of caution.</paratext>
            </para>
          </division>
          <division id="a298402" level="1">
            <head align="left" preservecase="true">
              <headtext>Legal requirements and prescribed information</headtext>
            </head>
            <para>
              <paratext>
                The 
                <link href="8-607-1327" style="ACTLinkPLCtoPLC">
                  <ital>Deregulation Act 2015</ital>
                </link>
                 (DA 2015) imposes certain requirements on landlords of properties in England. A landlord will be prevented from serving a notice seeking possession under 
                <link href="4-508-3286" style="ACTLinkPLCtoPLC">
                  <ital>section 21</ital>
                </link>
                 of the 
                <link href="3-508-3017" style="ACTLinkPLCtoPLC">
                  <ital>Housing Act 1988</ital>
                </link>
                 (HA 1988) unless it has complied with certain legal requirements(
                <link href="6-618-9993" style="ACTLinkPLCtoPLC">
                  <ital>section 38</ital>
                </link>
                <ital>, DA 2015 </ital>
                which inserts
                <ital> section 21A </ital>
                into the
                <ital> HA 1988</ital>
                ) and provided the tenant with certain prescribed information (
                <link href="4-618-9994" style="ACTLinkPLCtoPLC">
                  <ital>section 39</ital>
                </link>
                <ital>, DA 2015 </ital>
                which inserts 
                <ital>section 21B</ital>
                 into the 
                <ital>HA 1988</ital>
                ). Further details are set out in the 
                <link href="0-618-9972" style="ACTLinkPLCtoPLC">
                  <ital>Assured Shorthold Tenancy Notices and Prescribed Requirements (England) Regulations 2015 (SI 2015/1646)</ital>
                </link>
                .
              </paratext>
            </para>
            <para>
              <paratext>
                Initially, the DA 2015 requirements only applied to ASTs in England granted on or after 1 October 2015. From 1 October 2018, they apply to all ASTs, whenever they were granted (with the possible exception of the requirement to provide the tenant with prescribed information, see 
                <internal.reference refid="a494077">Drafting note, Prescribed information</internal.reference>
                ). The DA 2015 requirements do not apply to ASTs of properties in Wales.
              </paratext>
            </para>
            <division id="a497302" level="2">
              <head align="left" preservecase="true">
                <headtext>Legal requirements</headtext>
              </head>
              <para>
                <paratext>
                  Regulation 2 of the 
                  <link href="0-618-9972" style="ACTLinkPLCtoPLC">
                    <ital>Assured Shorthold Tenancy Notices and Prescribed Requirements (England) Regulations 2015 (SI 2015/1646)</ital>
                  </link>
                   provides that, for the purposes of section 21A of the HA 1988, the landlord cannot serve a section 21 notice unless it has done both of the following:
                </paratext>
              </para>
              <list type="bulleted">
                <list.item>
                  <para>
                    <paratext>
                      Provided the tenant with an energy performance certificate free of charge, in accordance with section 6(5) of the 
                      <link href="9-523-4344" style="ACTLinkPLCtoPLC">
                        <ital>Energy Performance of Buildings (England and Wales) Regulations 2012 (SI 2012/3118)</ital>
                      </link>
                       (see 
                      <link href="3-259-4960" style="ACTLinkPLCtoPLC">
                        <ital>Practice note, Energy performance certificates (EPCs)</ital>
                      </link>
                      ).
                    </paratext>
                  </para>
                </list.item>
                <list.item>
                  <para>
                    <paratext>
                      Provided the tenant with a gas safety certificate, in accordance with regulation 36 of the 
                      <link href="2-520-6778" style="ACTLinkPLCtoPLC">
                        <ital>Gas Safety (Installation and Use) Regulations 1998 (SI 1998/2451)</ital>
                      </link>
                      .
                    </paratext>
                  </para>
                  <para>
                    <paratext>Although regulation 36(6) of the Gas Safety (Installation and Use) Regulations 1998 provides that the landlord shall provide a copy of the gas safety record (GSR) within 28 days of the gas safety check, the Regulations disregard the requirement to comply within 28 days.</paratext>
                  </para>
                  <para>
                    <paratext>
                      If a landlord fails to provide the tenant with a copy of the GSR before the start of the tenancy, the landlord will not be prevented from serving a section 21 notice provided that the landlord gives the tenant the GSR before it serves the section 21 notice (
                      <link href="D-105-0030" style="ACTLinkPLCtoPLC">
                        <ital>Trecarrell House Ltd v Rouncefield [2020] EWCA Civ 760</ital>
                      </link>
                      ). For more information, see 
                      <link href="w-023-9132" style="ACTLinkPLCtoPLC">
                        <ital>Legal update, Landlord not prevented from serving a section 21 notice where it provided tenant with gas safety certificate after start of tenancy (Court of Appeal)</ital>
                      </link>
                      .
                    </paratext>
                  </para>
                </list.item>
              </list>
            </division>
            <division id="a494077" level="2">
              <head align="left" preservecase="true">
                <headtext>Prescribed information</headtext>
              </head>
              <para>
                <paratext>
                  Regulation 3 of the 
                  <link href="0-618-9972" style="ACTLinkPLCtoPLC">
                    <ital>Assured Shorthold Tenancy Notices and Prescribed Requirements (England) Regulations 2015 (SI 2015/1646)</ital>
                  </link>
                   provides that, for the purposes of section 21B of the HA 1988, the landlord must supply the tenant with a copy of the current version of 
                  <link href="3-572-0286" style="ACTLinkPLCtoPLC">
                    <ital>How to rent: The checklist for renting in England</ital>
                  </link>
                  .
                </paratext>
              </para>
              <para>
                <paratext>Landlords are not required to supply a further copy of the booklet each time a different version is published during a tenancy. The requirement does not apply where:</paratext>
              </para>
              <list type="bulleted">
                <list.item>
                  <para>
                    <paratext>A landlord is a registered provider of social housing.</paratext>
                  </para>
                </list.item>
                <list.item>
                  <para>
                    <paratext>The landlord provided the tenant with the booklet under an earlier tenancy and that version is the latest version.</paratext>
                  </para>
                </list.item>
              </list>
              <para>
                <paratext>
                  The legislation suggests (although it is not entirely clear) that the requirement to provide the tenant with prescribed information will not apply to ASTs granted before 1 October 2015, even with effect from 1 October 2018 (when the other DA 2015 requirements will apply to all ASTs of properties in England, regardless of when they were granted). This is on the basis that the 
                  <link href="3-572-0286" style="ACTLinkPLCtoPLC">
                    <ital>How to rent: The checklist for renting in England</ital>
                  </link>
                   did not exist before 1 October 2015.
                </paratext>
              </para>
              <para>
                <paratext>
                  However, it is likely to be best practice to provide the tenant with the prescribed information in any event, to ensure that there is no ground for the tenant to assert that the section 21 notice (which must be in a prescribed form) is invalid. For more information, see 
                  <link anchor="a503601" href="5-627-8268" style="ACTLinkPLCtoPLC">
                    <ital>Practice note, HA 1988: Ending an assured shorthold tenancy: section 21 notice: Deregulation Act 2015 requirements</ital>
                  </link>
                  .
                </paratext>
              </para>
            </division>
          </division>
          <division id="a487441" level="1">
            <head align="left" preservecase="true">
              <headtext>Checking the immigration status of tenants</headtext>
            </head>
            <para>
              <paratext>
                Sections 20-37 of, and Schedule 3 to, the Immigration Act 2014 (IA 2014) require private landlords of residential properties to check the immigration status of prospective tenants, and other authorised occupiers, to ascertain whether those parties have the right to be in the UK before granting a tenancy ("right to rent" checks). Breaching the prohibition could lead to a civil penalty of up to £3,000 (
                <link href="4-580-6425" style="ACTLinkPLCtoPLC">
                  <ital>section 23, IA 2014</ital>
                </link>
                ).
              </paratext>
            </para>
            <para>
              <paratext>
                The right to rent requirements have applied to the whole of England since 1 February 2016. For an overview of the right to rent requirements, see 
                <link href="1-621-8479" style="ACTLinkPLCtoPLC">
                  <ital>Practice note, Immigration Act 2014: overview of the right to rent requirements</ital>
                </link>
                .
              </paratext>
            </para>
            <para>
              <paratext>
                The Immigration Act 2016 (IA 2016) amended the IA 2014 and introduced new criminal offences targeted at landlords and agents who fail to conduct the right to rent checks and to remove illegal immigrant tenants from their properties in England. The IA 2016 also introduced provisions that make it easier for landlords to evict illegal immigrant tenants of properties in England. The relevant provisions of the IA 2016 have applied in England since 1 December 2016. For an overview of the provisions, 
                <link href="w-003-7297" style="ACTLinkPLCtoPLC">
                  <ital>Practice note, Immigration Act 2014: criminal offences for landlords and eviction of illegal immigrant tenants</ital>
                </link>
                .
              </paratext>
            </para>
            <para>
              <paratext>The standard document requires every occupier of the property to be named in the Schedule, and for the tenant to inform the landlord if the immigration status of any of those people changes.</paratext>
            </para>
          </division>
          <division id="a727282" level="1">
            <head align="left" preservecase="true">
              <headtext>Tenancy deposit schemes</headtext>
            </head>
            <para>
              <paratext>
                Since 6 April 2007, any deposit taken in connection with an AST must be protected in a government-approved tenancy deposit scheme (
                <link href="6-508-3266" style="ACTLinkPLCtoPLC">
                  <ital>section 213</ital>
                </link>
                <ital>, Housing Act 2004</ital>
                ) (HA 2004). In addition, the landlord must provide the tenant with prescribed information in relation to the tenancy deposit scheme within 30 days of the deposit having been protected (
                <link href="1-508-3259" style="ACTLinkPLCtoPLC">
                  <ital>section 212</ital>
                </link>
                , HA 2004).
              </paratext>
            </para>
            <para>
              <paratext>There are potentially significant sanctions for non-compliance with the requirements of a tenancy deposit scheme.</paratext>
            </para>
            <para>
              <paratext>There are two general sanctions:</paratext>
            </para>
            <list type="bulleted">
              <list.item>
                <para>
                  <paratext>The landlord may be prevented from recovering possession of its property by giving notice under section 21 of the HA 1988.</paratext>
                </para>
              </list.item>
              <list.item>
                <para>
                  <paratext>The landlord may be required to pay money to the tenant or relevant person by way of a fine.</paratext>
                </para>
              </list.item>
            </list>
            <para>
              <paratext>There are also specific sanctions that relate to insurance tenancy deposit schemes.</paratext>
            </para>
            <para>
              <paratext>
                For more information, see 
                <link href="9-238-2955" style="ACTLinkPLCtoPLC">
                  <ital>Practice note, Tenancy Deposit Schemes</ital>
                </link>
                .
              </paratext>
            </para>
          </division>
        </drafting.note>
        <cover.sheet>
          <head align="left" preservecase="true">
            <headtext>Assured shorthold tenancy agreement</headtext>
          </head>
          <subject.intro>relating to</subject.intro>
          <subject.text>[description of the property]</subject.text>
          <party.name>The Landlord</party.name>
          <AdditionalPartyType>
            <static.and>and</static.and>
            <party.name>The Tenant</party.name>
          </AdditionalPartyType>
          <AdditionalPartyType>
            <static.and>and</static.and>
            <party.name>[The Guarantor]</party.name>
          </AdditionalPartyType>
        </cover.sheet>
        <intro default="true">
          <intro.date>This agreement is dated [DATE]</intro.date>
        </intro>
        <parties>
          <head align="left" preservecase="true">
            <headtext>PARTIES</headtext>
          </head>
          <drafting.note id="a995546" jurisdiction="">
            <head align="left" preservecase="true">
              <headtext>TDS requirements</headtext>
            </head>
            <division id="a000005" level="1">
              <para>
                <paratext>
                  The Parties clause is intended to provide the prescribed information required under the tenancy deposit scheme established by 
                  <link href="1-508-3259" style="ACTLinkPLCtoPLC">
                    <ital>section 212(2)</ital>
                  </link>
                   of the 
                  <link href="0-508-3250" style="ACTLinkPLCtoPLC">
                    <ital>Housing Act 2004</ital>
                  </link>
                   (HA 2004) (TDS) and as such is more detailed than a usual parties clause.
                </paratext>
              </para>
              <para>
                <paratext>
                  The 
                  <link href="5-508-3257" style="ACTLinkPLCtoPLC">
                    <ital>Housing (Tenancy Deposits) (Prescribed Information) Order 2007 (SI 2007/797)</ital>
                  </link>
                   states that the name, address, telephone number, and any email address or fax number of the tenant, landlord, TDS scheme administrator or relevant person is "prescribed information". Even where no deposit is taken, it may be sensible to provide this information anyway, especially where the landlord has multiple properties let out on assured shorthold tenancies (ASTs) in a similar form. On 26th March 2015, the Order was amended by section 30 of the 
                  <link href="8-607-1327" style="ACTLinkPLCtoPLC">
                    <ital>Deregulation Act 2015</ital>
                  </link>
                   so that it is acceptable to provide details of the agent who protects the deposit for the landlord initially rather than having to provide only the details of the landlord.
                </paratext>
              </para>
              <para>
                <paratext>
                  For information on TDS generally, see 
                  <link href="9-238-2955" style="ACTLinkPLCtoPLC">
                    <ital>Practice note, Tenancy Deposit Schemes</ital>
                  </link>
                  .
                </paratext>
              </para>
            </division>
          </drafting.note>
          <party executionmethod="contract" id="a148456" status="individual">
            <identifier>(1)</identifier>
            <defn.item>
              <defn>
                <para>
                  <paratext>[INDIVIDUAL NAME] of [INDIVIDUAL ADDRESS] [TELEPHONE NUMBER] [EMAIL ADDRESS] [FAX NUMBER]</paratext>
                </para>
              </defn>
              <defn.term>Landlord</defn.term>
            </defn.item>
          </party>
          <party executionmethod="contract" id="a121667" status="individual">
            <identifier>(2)</identifier>
            <defn.item>
              <defn>
                <para>
                  <paratext>[INDIVIDUAL NAME] of [INDIVIDUAL ADDRESS] [TELEPHONE NUMBER] [EMAIL ADDRESS] [FAX NUMBER]</paratext>
                </para>
              </defn>
              <defn.term>Tenant</defn.term>
            </defn.item>
          </party>
          <party condition="optional" executionmethod="contract" id="a546404" status="individual">
            <identifier>(3)</identifier>
            <defn.item>
              <defn>
                <para>
                  <paratext>[NAME] of [ADDRESS] [TELEPHONE NUMBER] [EMAIL ADDRESS] [FAX NUMBER]</paratext>
                </para>
              </defn>
              <defn.term>Guarantor</defn.term>
            </defn.item>
          </party>
        </parties>
        <operative xrefname="clause">
          <head align="left" preservecase="true">
            <headtext>Agreed terms</headtext>
          </head>
          <clause id="a340172">
            <identifier>1.</identifier>
            <head align="left" preservecase="true">
              <headtext>Interpretation</headtext>
            </head>
            <para>
              <paratext>The following definitions and rules of interpretation apply in this agreement.</paratext>
            </para>
            <subclause1 id="a607205">
              <identifier>1.1</identifier>
              <para>
                <paratext>Definitions:</paratext>
              </para>
              <defn.item condition="optional" id="a191657">
                <defn.term>Agent</defn.term>
                <defn>
                  <para>
                    <paratext>person or company responsible for letting or managing the property.</paratext>
                  </para>
                </defn>
                <drafting.note id="a367689" jurisdiction="">
                  <head align="left" preservecase="true">
                    <headtext>Agent</headtext>
                  </head>
                  <division id="a000006" level="1">
                    <para>
                      <paratext>
                        This term is only relevant if there is a Deposit, and it should be deleted if no Deposit is paid. Even where there is a Deposit, this definition is only needed if the term "Agent" is used in 
                        <internal.reference refid="a201188">clause 6.1</internal.reference>
                         or 
                        <internal.reference refid="a109958">clause 6.4</internal.reference>
                        .
                      </paratext>
                    </para>
                  </division>
                </drafting.note>
              </defn.item>
              <defn.item id="a980554">
                <defn.term>Contents</defn.term>
                <defn>
                  <para>
                    <paratext>the furniture, furnishings and any other items set out in the Inventory and Schedule of Condition.</paratext>
                  </para>
                </defn>
              </defn.item>
              <defn.item condition="optional" id="a527391">
                <defn.term>Deposit</defn.term>
                <defn>
                  <para>
                    <paratext>£[AMOUNT].</paratext>
                  </para>
                </defn>
                <drafting.note id="a1004523" jurisdiction="">
                  <head align="left" preservecase="true">
                    <headtext>Deposit (optional definition)</headtext>
                  </head>
                  <division id="a000007" level="1">
                    <para>
                      <paratext>
                        In England, the deposit should not exceed five weeks' rent where the annual rent is less than £50,000, or six weeks' rent where the annual rent is £50,000 or more. For more information, see 
                        <link anchor="a387639" href="w-019-2599" style="ACTLinkPLCtoPLC">
                          <ital>Practice note, Prohibited payments under the Tenant Fees Act 2019: Tenancy deposit</ital>
                        </link>
                        .
                      </paratext>
                    </para>
                    <para>
                      <paratext>
                        In Wales, a deposit is a permitted payment, unless the amount of that deposit exceeds the prescribed limit, where the excess will constitute a prohibited payment. The prescribed limit will be specified by separate regulations which have not yet been issued. For more information, see 
                        <link anchor="a396316" href="w-020-5209" style="ACTLinkPLCtoPLC">
                          <ital>Practice note, Prohibited payments under the Renting Homes (Fees etc) (Wales) Act 2019: Security deposit</ital>
                        </link>
                        .
                      </paratext>
                    </para>
                    <para>
                      <paratext>This definition should be deleted if there is no Deposit.</paratext>
                    </para>
                  </division>
                </drafting.note>
              </defn.item>
              <defn.item id="a785113">
                <defn.term>Energy Performance Certificate</defn.term>
                <defn>
                  <para>
                    <paratext>a certificate as defined in regulation 2(1) of the EPC Regulations.</paratext>
                  </para>
                </defn>
              </defn.item>
              <defn.item id="a860859">
                <defn.term>EPC Regulations</defn.term>
                <defn>
                  <para>
                    <paratext>Energy Performance of Buildings (England and Wales) Regulations 2012 (SI 2012/3118).</paratext>
                  </para>
                </defn>
              </defn.item>
              <defn.item id="a727548">
                <defn.term>First Rent Payment Date</defn.term>
                <defn>
                  <para>
                    <paratext>[DATE]</paratext>
                  </para>
                </defn>
              </defn.item>
              <defn.item id="a262884">
                <defn.term>HA 1988</defn.term>
                <defn>
                  <para>
                    <paratext>Housing Act 1988.</paratext>
                  </para>
                </defn>
              </defn.item>
              <defn.item condition="optional" id="a393104">
                <defn.term>HA 2004</defn.term>
                <defn>
                  <para>
                    <paratext>Housing Act 2004.</paratext>
                  </para>
                </defn>
                <drafting.note id="a139336" jurisdiction="">
                  <head align="left" preservecase="true">
                    <headtext>HA 2004 (optional definition)</headtext>
                  </head>
                  <division id="a000008" level="1">
                    <para>
                      <paratext>This definition should be deleted if there is no Deposit.</paratext>
                    </para>
                  </division>
                </drafting.note>
              </defn.item>
              <defn.item id="a673405">
                <defn.term>Insured Risks</defn.term>
                <defn>
                  <para>
                    <paratext>means fire, explosion, lightning, earthquake, storm, flood, bursting and overflowing of water tanks, apparatus or pipes, impact by aircraft and articles dropped from them, impact by vehicles, riot, civil commotion and any other risks against which the Landlord decides to insure from time to time and Insured Risk means any one of the Insured Risks.</paratext>
                  </para>
                </defn>
              </defn.item>
              <defn.item condition="optional" id="a737670">
                <defn.term>Interested Persons: means process servers, enforcement officers, bailiffs, local authorities, utility providers, debt collectors and judgment creditors and their legal advisers or agents.</defn.term>
                <defn>
                  <para>
                    <paratext/>
                  </para>
                </defn>
                <drafting.note id="a458011" jurisdiction="">
                  <head align="left" preservecase="true">
                    <headtext>Interested Persons (optional definition)</headtext>
                  </head>
                  <division id="a000009" level="1">
                    <para>
                      <paratext>
                        This definition is optional and is referred to in 
                        <internal.reference refid="a684418">clause 15.4</internal.reference>
                        .
                      </paratext>
                    </para>
                  </division>
                </drafting.note>
              </defn.item>
              <defn.item id="a379069">
                <defn.term>Inventory and Schedule of Condition</defn.term>
                <defn>
                  <para>
                    <paratext>the list of Contents and description of the condition of the Property attached to this agreement and signed by the parties.</paratext>
                  </para>
                </defn>
                <drafting.note id="a1018270" jurisdiction="">
                  <head align="left" preservecase="true">
                    <headtext>Inventory</headtext>
                  </head>
                  <division id="a000010" level="1">
                    <para>
                      <paratext>
                        For general information on inventories, see 
                        <link href="0-503-9200#a885293" style="ACTLinkPLCtoPLC">
                          <ital>Practice note, Granting an assured shorthold tenancy: Inventories</ital>
                        </link>
                        .
                      </paratext>
                    </para>
                  </division>
                </drafting.note>
              </defn.item>
              <defn.item id="a303949">
                <defn.term>Lawful Occupiers</defn.term>
                <defn>
                  <para>
                    <paratext>
                      those persons listed in the 
                      <internal.reference refid="a991103">Schedule 1</internal.reference>
                      .
                    </paratext>
                  </para>
                </defn>
              </defn.item>
              <defn.item id="a100552">
                <defn.term>LTA 1985</defn.term>
                <defn>
                  <para>
                    <paratext>Landlord and Tenant Act 1985.</paratext>
                  </para>
                </defn>
              </defn.item>
              <defn.item id="a102869">
                <defn.term>Property</defn.term>
                <defn>
                  <para>
                    <paratext>[ADDRESS].</paratext>
                  </para>
                </defn>
                <drafting.note id="a108176" jurisdiction="">
                  <head align="left" preservecase="true">
                    <headtext>Property</headtext>
                  </head>
                  <division id="a000011" level="1">
                    <para>
                      <paratext>The definition of the Property will determine the land and buildings that are available for occupation by the Tenant. For the sake of certainty, the parties may prefer to attach a plan of the Property to the agreement.</paratext>
                    </para>
                    <para>
                      <paratext>Where it is not possible to refer to a plan, care should be taken to define the Property fully and accurately. In addition to the full postal address of the Property, the Landlord should consider whether any garden, garage or other outbuildings should be expressly referred to in the agreement.</paratext>
                    </para>
                  </division>
                </drafting.note>
              </defn.item>
              <defn.item id="a699984">
                <defn.term>Recommendation Report</defn.term>
                <defn>
                  <para>
                    <paratext>a report as defined in regulation 4 of the EPC Regulations.</paratext>
                  </para>
                </defn>
              </defn.item>
              <defn.item id="a291641">
                <defn.term>Rent</defn.term>
                <defn>
                  <para>
                    <paratext>
                      £[AMOUNT] per [week 
                      <bold>OR</bold>
                       month].
                    </paratext>
                  </para>
                </defn>
                <drafting.note id="a745010" jurisdiction="">
                  <head align="left" preservecase="true">
                    <headtext>Rent</headtext>
                  </head>
                  <division id="a000012" level="1">
                    <para>
                      <paratext>
                        The agreement assumes that the annual Rent for the Property is equal to or less than £100,000 and more than £1,000 (in Greater London) or £250 (outside Greater London) If the Rent for the Property is outside these parameters, then the tenancy cannot be an AST under the 
                        <link href="3-508-3017" style="ACTLinkPLCtoPLC">
                          <ital>HA 1988</ital>
                        </link>
                         (see 
                        <link anchor="a375680" href="8-504-1548" style="ACTLinkPLCtoPLC">
                          <ital>Practice note: overview, Types of residential tenancies: overview: Tenancies that cannot be assured tenancies</ital>
                        </link>
                        ). ).
                      </paratext>
                    </para>
                    <para>
                      <paratext>
                        The frequency of the Rent payments will determine the length of any statutory periodic tenancy that may arise if the Tenant stays in the Property after the fixed term has expired. While it is possible to agree other periods for Rent payments, this would be unusual in an AST. The parties should consider the impact a different Rent payment period would have on the continuation tenancy (see 
                        <internal.reference refid="a707826">clause 15</internal.reference>
                        ). For more information, see 
                        <link href="0-503-9200#a397865" style="ACTLinkPLCtoPLC">
                          <ital>Practice note, Granting an assured shorthold tenancy: Statutory periodic tenancies</ital>
                        </link>
                        .
                      </paratext>
                    </para>
                    <para>
                      <paratext>
                        If the Rent is paid weekly, the Landlord must provide the Tenant with a rent book. The rent book must include the prescribed information set out in 
                        <link href="0-508-5635" style="ACTLinkPLCtoPLC">
                          <ital>section 4</ital>
                        </link>
                         and 
                        <link href="6-508-5637" style="ACTLinkPLCtoPLC">
                          <ital>section 5</ital>
                        </link>
                         of the 
                        <link href="8-508-3067" style="ACTLinkPLCtoPLC">
                          <ital>Landlord and Tenant Act 1985</ital>
                        </link>
                         (LTA 1985). See 
                        <link href="8-374-9020" style="ACTLinkPLCtoPLC">
                          <ital>Standard document, Form for a rent book for an assured tenancy or assured agricultural occupancy</ital>
                        </link>
                        .
                      </paratext>
                    </para>
                  </division>
                </drafting.note>
              </defn.item>
              <defn.item id="a644868">
                <defn.term>Rent Payment Dates</defn.term>
                <defn>
                  <para>
                    <paratext>
                      the [INSERT AGREED RENT PAYMENT DAY] day of each [week 
                      <bold>OR</bold>
                       month].
                    </paratext>
                  </para>
                </defn>
                <drafting.note id="a129884" jurisdiction="">
                  <head align="left" preservecase="true">
                    <headtext>Rent Payment Dates</headtext>
                  </head>
                  <division id="a000013" level="1">
                    <para>
                      <paratext>
                        The frequency of the Rent payments will determine the length of any statutory periodic tenancy that may arise if the Tenant stays in the Property after the fixed term has expired. While it is possible to agree other periods for Rent payments, this would be unusual in an AST. The parties should consider the impact a different Rent payment period would have on the continuation tenancy (see 
                        <internal.reference refid="a707826">clause 15</internal.reference>
                        ). For more information, see 
                        <link href="0-503-9200#a397865" style="ACTLinkPLCtoPLC">
                          <ital>Practice note, Granting an assured shorthold tenancy: Statutory periodic tenancies</ital>
                        </link>
                        .
                      </paratext>
                    </para>
                  </division>
                </drafting.note>
              </defn.item>
              <defn.item condition="optional" id="a241734">
                <defn.term>Scheme Administrator</defn.term>
                <defn>
                  <para>
                    <paratext>administrator of either a custodial or insurance TDS.</paratext>
                  </para>
                </defn>
                <drafting.note id="a272060" jurisdiction="">
                  <head align="left" preservecase="true">
                    <headtext>Scheme Administrator (optional definition)</headtext>
                  </head>
                  <division id="a000014" level="1">
                    <para>
                      <paratext>
                        The definition of Scheme Administrator is used in 
                        <internal.reference refid="a201188">clause 6.1</internal.reference>
                         and 
                        <internal.reference refid="a262646">clause 6.6</internal.reference>
                         of this standard document. If an alternative option is selected in 
                        <internal.reference refid="a201188">clause 6.1</internal.reference>
                         and 
                        <internal.reference refid="a262646">clause 6.6</internal.reference>
                         (which is an optional clause) is omitted, the definition of Scheme Administrator should be deleted.
                      </paratext>
                    </para>
                    <para>
                      <paratext>
                        This definition should also be deleted if there is no Deposit, which will mean that the whole of 
                        <internal.reference refid="a478056">clause 6</internal.reference>
                         is removed from the AST.
                      </paratext>
                    </para>
                  </division>
                </drafting.note>
              </defn.item>
              <defn.item condition="optional" id="a194076">
                <defn.term>TDS</defn.term>
                <defn>
                  <para>
                    <paratext>tenancy deposit scheme, as defined in section 212(2) of the HA 2004.</paratext>
                  </para>
                </defn>
                <drafting.note id="a943529" jurisdiction="">
                  <head align="left" preservecase="true">
                    <headtext>TDS (optional definition)</headtext>
                  </head>
                  <division id="a000015" level="1">
                    <para>
                      <paratext>This definition should be deleted if there is no Deposit.</paratext>
                    </para>
                  </division>
                </drafting.note>
              </defn.item>
              <defn.item id="a589942">
                <defn.term>Tenancy</defn.term>
                <defn>
                  <para>
                    <paratext>the tenancy created under this agreement and any statutory periodic tenancy arising under section 5(2) of the Housing Act 1988 or any contractual periodic tenancy that arises after the Term has expired.</paratext>
                  </para>
                </defn>
                <drafting.note id="a767746" jurisdiction="">
                  <head align="left" preservecase="true">
                    <headtext>"Tenancy" to include any statutory tenancy</headtext>
                  </head>
                  <division id="a000016" level="1">
                    <para>
                      <paratext>
                        In 
                        <link href="D-021-7416" style="ACTLinkPLCtoPLC">
                          <ital>Superstrike Ltd v Rodrigues [2013] EWCA Civ 669</ital>
                        </link>
                        , the Court of Appeal held that a statutory tenancy arising under section 5(2) of the Housing Act 1988 was a new tenancy (see 
                        <link href="2-532-2612" style="ACTLinkPLCtoPLC">
                          <ital>Legal update, What should happen to a deposit when a statutory tenancy arises? (Court of Appeal)</ital>
                        </link>
                        ). This clause makes it clear that any obligations that are given in respect of the Tenancy will apply to both the fixed term 
                        <bold>and</bold>
                         any period of holding over (whether statutory or contractual).
                      </paratext>
                    </para>
                  </division>
                </drafting.note>
              </defn.item>
              <defn.item id="a547993">
                <defn.term>Term</defn.term>
                <defn>
                  <para>
                    <paratext>
                      a fixed term of [NUMBER] [months 
                      <bold>OR</bold>
                       years] from and including [DATE].
                    </paratext>
                  </para>
                </defn>
              </defn.item>
              <defn.item id="a873647">
                <defn.term>Working Day</defn.term>
                <defn>
                  <para>
                    <paratext>
                      any day which is not a Saturday, a Sunday, a bank holiday or a public holiday in [England 
                      <bold>OR</bold>
                       Wales].
                    </paratext>
                  </para>
                </defn>
              </defn.item>
            </subclause1>
            <subclause1 id="a959689">
              <identifier>1.2</identifier>
              <para>
                <paratext>Clause headings shall not affect the interpretation of this agreement.</paratext>
              </para>
            </subclause1>
            <subclause1 id="a483074">
              <identifier>1.3</identifier>
              <para>
                <paratext>
                  A 
                  <bold>person</bold>
                   includes a natural person, corporate or unincorporated body (whether or not having separate legal personality) [and that person's legal and personal representatives, successors and permitted assigns].
                </paratext>
              </para>
            </subclause1>
            <subclause1 id="a429668">
              <identifier>1.4</identifier>
              <para>
                <paratext>Unless the context otherwise requires, words in the singular shall include the plural and in the plural shall include the singular.</paratext>
              </para>
            </subclause1>
            <subclause1 id="a73139">
              <identifier>1.5</identifier>
              <para>
                <paratext>Unless the context otherwise requires, a reference to one gender shall include a reference to the other genders.</paratext>
              </para>
            </subclause1>
            <subclause1 id="a408305">
              <identifier>1.6</identifier>
              <para>
                <paratext>A reference to legislation or a legislative provision is a reference to it as amended, extended or re-enacted from time to time.</paratext>
              </para>
            </subclause1>
            <subclause1 id="a412760">
              <identifier>1.7</identifier>
              <para>
                <paratext>A reference to legislation or a legislative provision shall include all subordinate legislation made from time to time under that legislation or legislative provision.</paratext>
              </para>
            </subclause1>
            <subclause1 id="a127461">
              <identifier>1.8</identifier>
              <para>
                <paratext>A reference to an agreement is a reference to this agreement.</paratext>
              </para>
            </subclause1>
            <subclause1 id="a137227">
              <identifier>1.9</identifier>
              <para>
                <paratext>
                  A reference to 
                  <bold>writing</bold>
                   or 
                  <bold>written</bold>
                   includes fax and email.
                </paratext>
              </para>
              <drafting.note id="a210944" jurisdiction="">
                <head align="left" preservecase="true">
                  <headtext>"Writing" to include faxes and email</headtext>
                </head>
                <division id="a000017" level="1">
                  <para>
                    <paratext>
                      <internal.reference refid="a137227">Clause 1.9</internal.reference>
                       states that references to writing or written include both faxes and email. This is included to comply with the TDS requirements, which provide for information to be passed electronically.
                    </paratext>
                  </para>
                  <para>
                    <paratext>Even where there is no Deposit (and so the TDS requirements do not apply), it may be preferable to leave this clause as drafted. If a Landlord has multiple ASTs, there could be confusion if some of them allowed notices to be sent by email (to comply with TDS requirements), while other ASTs did not.</paratext>
                  </para>
                </division>
              </drafting.note>
            </subclause1>
            <subclause1 id="a772673">
              <identifier>1.10</identifier>
              <para>
                <paratext>Any reference to the giving of consent by the Landlord requires the consent to be given in writing, signed by the Landlord.</paratext>
              </para>
            </subclause1>
            <subclause1 id="a216041">
              <identifier>1.11</identifier>
              <para>
                <paratext>Any obligation on a party not to do something includes an obligation not to allow that thing to be done and an obligation to use best endeavours to prevent that thing being done by another person.</paratext>
              </para>
              <drafting.note id="a439216" jurisdiction="">
                <head align="left" preservecase="true">
                  <headtext>Meaning of best endeavours</headtext>
                </head>
                <division id="a000018" level="1">
                  <para>
                    <paratext>
                      For a review of the meaning of "best endeavours", "reasonable endeavours" and other common forms of endeavours clauses, see 
                      <link href="6-380-0482" style="ACTLinkPLCtoPLC">
                        <ital>Practice note, Best or reasonable endeavours?</ital>
                      </link>
                      .
                    </paratext>
                  </para>
                </division>
              </drafting.note>
            </subclause1>
            <subclause1 id="a436304">
              <identifier>1.12</identifier>
              <para>
                <paratext>References to clauses are to the clauses of this agreement.</paratext>
              </para>
            </subclause1>
            <subclause1 id="a369451">
              <identifier>1.13</identifier>
              <para>
                <paratext>A reference to the Landlord includes a reference to the person entitled to the immediate reversion to this Tenancy. A reference to the Tenant includes a reference to its successors in title and assigns.</paratext>
              </para>
            </subclause1>
            <subclause1 id="a782062">
              <identifier>1.14</identifier>
              <para>
                <paratext>Unless otherwise expressly provided, the obligations and liabilities of the parties under this agreement are joint and several. This means that where, for example, the Tenant is more than one person, they shall be liable for all sums due under the agreement, not just liable for a proportionate part.</paratext>
              </para>
              <drafting.note id="a357811" jurisdiction="">
                <head align="left" preservecase="true">
                  <headtext>Joint and several liability</headtext>
                </head>
                <division id="a000019" level="1">
                  <para>
                    <paratext>
                      For more information on joint and several liability in contract and tort, see 
                      <link href="1-200-4741" style="ACTLinkPLCtoPLC">
                        <ital>Practice note, Joint, several and joint and several liability</ital>
                      </link>
                      .
                    </paratext>
                  </para>
                </division>
              </drafting.note>
            </subclause1>
            <subclause1 id="a215992">
              <identifier>1.15</identifier>
              <para>
                <paratext>The obligations of the Tenant [and the Guarantor] arising by virtue of this agreement are owed to the Landlord. The obligations of the Landlord are owed to the Tenant.</paratext>
              </para>
              <drafting.note id="a623919" jurisdiction="">
                <head align="left" preservecase="true">
                  <headtext>Duties owed by tenant and guarantor</headtext>
                </head>
                <division id="a000020" level="1">
                  <para>
                    <paratext>It is better to state expressly to whom the parties' respective obligations are owed rather than leave this implied. If there is a Guarantor, include the optional wording relating to the Guarantor. If there is no Guarantor, delete the optional wording.</paratext>
                  </para>
                </division>
              </drafting.note>
            </subclause1>
          </clause>
          <clause id="a613841">
            <identifier>2.</identifier>
            <head align="left" preservecase="true">
              <headtext>Grant of the Tenancy</headtext>
            </head>
            <subclause1 id="a51776">
              <identifier>2.1</identifier>
              <para>
                <paratext>
                  [At the request of the Guarantor, the 
                  <bold>OR</bold>
                   The] Landlord lets the Property to the Tenant for the Term.
                </paratext>
              </para>
            </subclause1>
            <subclause1 id="a369997">
              <identifier>2.2</identifier>
              <para>
                <paratext>This agreement creates an assured shorthold tenancy under Part I of Chapter II of the HA 1988.</paratext>
              </para>
            </subclause1>
          </clause>
          <clause id="a295228">
            <identifier>3.</identifier>
            <head align="left" preservecase="true">
              <headtext>Contents and keys</headtext>
            </head>
            <drafting.note id="a842067" jurisdiction="">
              <head align="left" preservecase="true">
                <headtext>Contents</headtext>
              </head>
              <division id="a000021" level="1">
                <para>
                  <paratext>
                    <internal.reference refid="a295228">Clause 3</internal.reference>
                     requires the Tenant to keep the Contents of the Property in a good condition, subject to fair wear and tear.
                  </paratext>
                </para>
                <para>
                  <paratext>This standard document does not prohibit the Tenant from removing the Contents from the Property during the Term of the AST. When drafting this standard document, Practical Law Property took the view that it was unnecessary to have a clause specifically prohibiting removal of Contents from the Property during the Term. The reasons for this are:</paratext>
                </para>
                <list type="bulleted">
                  <list.item>
                    <para>
                      <paratext>Most Landlords would probably not be too concerned if the Contents were removed from the Property during the Term as long as they were returned in good condition at the end of the Term.</paratext>
                    </para>
                  </list.item>
                  <list.item>
                    <para>
                      <paratext>There are situations where items must be removed, in order for the Tenant to comply with the repairing and maintenance obligations in the AST. For example, where the furnishings are dry-clean only, and need cleaning.</paratext>
                    </para>
                  </list.item>
                  <list.item>
                    <para>
                      <paratext>
                        The requirement that the Tenant is not to do anything that might invalidate the Landlord's Contents insurance in 
                        <internal.reference refid="a536812">clause 7.4(c)</internal.reference>
                         of the agreement provides comfort to Landlords.
                      </paratext>
                    </para>
                  </list.item>
                  <list.item>
                    <para>
                      <paratext>The practical issue of how a Landlord would monitor and enforce a provision prohibiting removal of Contents from the Property during the Term other than by frequent inspections. Frequent inspections may not be practical or cost-effective for most Landlords.</paratext>
                    </para>
                  </list.item>
                </list>
                <para>
                  <paratext>Practitioners may want to insert an additional clause preventing the removal of Contents from the Property during the Term of the AST if this is a particularly sensitive issue for their Landlord clients, for example:</paratext>
                </para>
                <display.quote>
                  <para>
                    <paratext>"The Tenant shall not remove any of the Contents from the Property or allow them to be used outside the Property save as is necessary for the Tenant to comply with its obligations contained in this agreement".</paratext>
                  </para>
                </display.quote>
                <para>
                  <paratext>
                    The TFA 2019 prohibits the Landlord from charging the Tenant to have the Contents or Property professionally cleaned at the end of the Tenancy. The Landlord is, however, able to require the Tenant to return the Contents and Property cleaned to a professional standard, and if the Tenant failed to do so this would be a breach of the Tenancy for which the Landlord could seek damages. For more information on the TFA 2019, see 
                    <link href="w-019-2599" style="ACTLinkPLCtoPLC">
                      <ital>Practice note, Prohibited payments under the Tenant Fees Act 2019</ital>
                    </link>
                    .
                  </paratext>
                </para>
                <para>
                  <paratext>
                    In Wales there is a similar prohibition on check out fees, or other similar payments, in the RHFWA 2019. If an AST requires a payment to be made in the event of default by the contract-holder, such a payment is a permitted payment, although the payment attached to certain events of default may be made subject to a prescribed limit by regulations. For more information, see 
                    <link anchor="a629618" href="w-020-5209" style="ACTLinkPLCtoPLC">
                      <ital>Practice note, Prohibited payments under the Renting Homes (Fees etc) (Wales) Act 2019: Event of default</ital>
                    </link>
                    .
                  </paratext>
                </para>
              </division>
            </drafting.note>
            <subclause1 id="a581032">
              <identifier>3.1</identifier>
              <para>
                <paratext>The Tenant shall keep the Contents in good and clean condition and shall return the Contents to the Landlord at the end of the Tenancy in the same state (except for fair wear and tear) as detailed on the Inventory and Schedule of Condition and cleaned to a professional standard.</paratext>
              </para>
            </subclause1>
            <subclause1 condition="optional" id="a865383">
              <identifier>3.2</identifier>
              <para>
                <paratext>The Landlord and Tenant consent to the use of the Inventory and Schedule of Condition as evidence in any dispute arising in connection with the Deposit if the dispute is referred to an adjudicator according to the TDS in which the Deposit is held.</paratext>
              </para>
              <drafting.note id="a985324" jurisdiction="">
                <head align="left" preservecase="true">
                  <headtext>Use of the Inventory and Schedule of Condition (optional clause)</headtext>
                </head>
                <division id="a000022" level="1">
                  <para>
                    <paratext>This provision should be deleted if there is no Deposit.</paratext>
                  </para>
                </division>
              </drafting.note>
            </subclause1>
            <subclause1 id="a468318">
              <identifier>3.3</identifier>
              <para>
                <paratext>The Tenant is responsible for looking after the keys and any security device for the Property during the Tenancy. If the Tenant fails to do so, the Tenant is responsible for the reasonable costs properly incurred as a result.</paratext>
              </para>
              <drafting.note id="a870236" jurisdiction="">
                <head align="left" preservecase="true">
                  <headtext>Loss of key or security device</headtext>
                </head>
                <division id="a000023" level="1">
                  <para>
                    <paratext>
                      Under the TFA 2019, the tenancy agreement may require a payment to be made following the loss of a key or other security device. If the amount of the required payment exceeds the Landlord's or letting agent's reasonable costs as evidenced in writing, the excess is a prohibited payment. It appears therefore that whether it is reasonable for the Landlord to seek to recover the costs of replacing locks will turn on the facts. For more information, see 
                      <link anchor="a571100" href="w-019-2599" style="ACTLinkPLCtoPLC">
                        <ital>Practice note, Prohibited payments under the Tenant Fees Act 2019: Event of a default</ital>
                      </link>
                      .
                    </paratext>
                  </para>
                  <para>
                    <paratext>
                      Under the RFHWA 2019, an AST may require a payment to be made in the event of default by the tenant. However, under 
                      <link href="w-024-2841" style="ACTLinkPLCtoPLC">
                        <ital>The Renting Homes (Fees etc.) (Prescribed Limits of Default Payments) (Wales) Regulations 2020 (SI 2020/202)</ital>
                      </link>
                      , where the breach results in:
                    </paratext>
                  </para>
                  <list type="bulleted">
                    <list.item>
                      <para>
                        <paratext>A lock that gives access to the dwelling needing to be changed, added or removed, or</paratext>
                      </para>
                    </list.item>
                    <list.item>
                      <para>
                        <paratext>A key or other security device that gives access to the dwelling needing to be replaced.</paratext>
                      </para>
                    </list.item>
                  </list>
                  <para>
                    <paratext>
                      The payment demanded from the tenant must not exceed the actual cost (including the labour of a third party contractor) of changing, adding or removing the lock and replacing the key or other device, as evidenced by an invoice or receipt. Any excess will be a prohibited payment. For more information, see 
                      <link anchor="a629618" href="w-020-5209" style="ACTLinkPLCtoPLC">
                        <ital>Practice note, Prohibited payments under the Renting Homes (Fees etc) (Wales) Act 2019: Event of default</ital>
                      </link>
                      .
                    </paratext>
                  </para>
                </division>
              </drafting.note>
            </subclause1>
          </clause>
          <clause id="a764102">
            <identifier>4.</identifier>
            <head align="left" preservecase="true">
              <headtext>Rent</headtext>
            </head>
            <drafting.note id="a257505" jurisdiction="">
              <head align="left" preservecase="true">
                <headtext>Deductions from rent or set-off</headtext>
              </head>
              <division id="a000024" level="1">
                <para>
                  <paratext>
                    Rent payment clauses often require the Tenant to pay the Rent without any deductions or set-off. However, the 
                    <link href="3-201-3867" style="ACTLinkPLCtoPLC">
                      <ital>former CMA guidance </ital>
                    </link>
                     stated that terms which exclude the Tenant's right of set-off might be considered unfair. For this reason, such a term is not included in this standard document.
                  </paratext>
                </para>
              </division>
            </drafting.note>
            <subclause1 id="a1030468">
              <identifier>4.1</identifier>
              <para>
                <paratext>The Tenant shall pay the Rent in advance on or before the Rent Payment Dates.</paratext>
              </para>
            </subclause1>
            <subclause1 id="a764295">
              <identifier>4.2</identifier>
              <para>
                <paratext>The Tenant shall pay the first instalment of the Rent on or before the First Rent Payment Date.</paratext>
              </para>
            </subclause1>
            <subclause1 id="a715148">
              <identifier>4.3</identifier>
              <para>
                <paratext>The Tenant shall pay interest at the rate of 3% per annum above the Bank of England's base rate on any rent lawfully due that is paid more than 14 days after the date on which it became due. The interest shall be payable from the date the rent should have been paid until the date the rent is actually paid.</paratext>
              </para>
              <drafting.note id="a668350" jurisdiction="">
                <head align="left" preservecase="true">
                  <headtext>Interest rate</headtext>
                </head>
                <division id="a000025" level="1">
                  <para>
                    <paratext>
                      The TFA 2019 permits interest to be charged at an annual percentage rate of 3% above the Bank of England base rate on the unpaid rent for each day after the due date that the rent remains unpaid. For more information, see 
                      <link anchor="a678999" href="w-019-2599" style="ACTLinkPLCtoPLC">
                        <ital>Practice note, Prohibited payments under the Tenant Fees Act 2019: Failure to pay rent</ital>
                      </link>
                      .
                    </paratext>
                  </para>
                  <para>
                    <paratext>
                      For ASTs in Wales, the interest to be charged on unpaid rent is also subject to a prescribed limit, set out in 
                      <link href="w-024-2841" style="ACTLinkPLCtoPLC">
                        <ital>The Renting Homes (Fees etc.) (Prescribed Limits of Default Payments) (Wales) Regulations 2020 (SI 2020/202)</ital>
                      </link>
                      . Interest may be charged on unpaid rent at an annual percentage rate of 3% above the Bank of England base rate for each day that the unpaid rent remains unpaid, after a grace period of seven days beginning with the due date. For more information, see 
                      <link anchor="a629618" href="w-020-5209" style="ACTLinkPLCtoPLC">
                        <ital>Practice note, Prohibited payments under the Renting Homes (Fees etc) (Wales) Act 2019: Event of default</ital>
                      </link>
                      .
                    </paratext>
                  </para>
                </division>
              </drafting.note>
            </subclause1>
            <subclause1 id="a559203">
              <identifier>4.4</identifier>
              <para>
                <paratext>The Tenant shall be in breach of this agreement if the Tenant fails to pay the Rent in accordance with this clause and the Landlord shall be entitled to use the statutory provisions contained in the HA 1988 or any other statutory remedies available to recover possession of the Property.</paratext>
              </para>
            </subclause1>
            <subclause1 id="a496402">
              <identifier>4.5</identifier>
              <para>
                <paratext>If the Property is damaged or destroyed by an Insured Risk so as to be unfit for occupation and use then, unless the damage or destruction was caused by the wilful actions, negligence or default of the Tenant, payment of the Rent shall be suspended until the Property is fit for occupation and use.</paratext>
              </para>
              <drafting.note id="a748526" jurisdiction="">
                <head align="left" preservecase="true">
                  <headtext>Damage or destruction of the Property</headtext>
                </head>
                <division id="a000026" level="1">
                  <para>
                    <paratext>If the Property is damaged by an Insured Risk, then the Rent will be suspended until the Property is fit for occupation and use by the Tenant. However, if the damage or destruction is caused by the Tenant, then the Rent will not be suspended.</paratext>
                  </para>
                  <para>
                    <paratext>
                      For more information on insurance, see 
                      <link href="3-203-9754" style="ACTLinkPLCtoPLC">
                        <ital>Practice note, General principles of insurance law</ital>
                      </link>
                      .
                    </paratext>
                  </para>
                </division>
              </drafting.note>
            </subclause1>
          </clause>
          <clause condition="optional" id="a277910">
            <identifier>5.</identifier>
            <head align="left" preservecase="true">
              <headtext>Deposit</headtext>
            </head>
            <drafting.note id="a867010" jurisdiction="">
              <head align="left" preservecase="true">
                <headtext>Deposit (optional clause)</headtext>
              </head>
              <division id="a000027" level="1">
                <para>
                  <paratext>
                    <internal.reference refid="a277910">Clause 5</internal.reference>
                     and 
                    <internal.reference refid="a478056">clause 6</internal.reference>
                     should be deleted if there is no Deposit. Associated provisions in 
                    <internal.reference refid="a865383">clause 3.2</internal.reference>
                     and some of the definitions in 
                    <internal.reference refid="a607205">clause 1.1</internal.reference>
                     should also be deleted. For more information, see the integrated drafting notes for individual definitions.
                  </paratext>
                </para>
                <para>
                  <paratext>The clause does not provide for the Landlord to retain money from the Deposit to settle unpaid utility bills for which the Tenant is liable. This is because the Tenant has the contractual relationship with the utility providers, not the Landlord. If the utility company looks to the Landlord for payment, the Landlord should provide evidence of the Tenancy and the fact that the Tenant is liable for the utility charges. There may be a legitimate reason why the Tenant has not paid a bill, which the Tenant should resolve with the utility company.</paratext>
                </para>
              </division>
            </drafting.note>
            <subclause1 id="a305909">
              <identifier>5.1</identifier>
              <para>
                <paratext>The Landlord acknowledges receipt of the Deposit from the Tenant.</paratext>
              </para>
            </subclause1>
            <subclause1 id="a1031328">
              <identifier>5.2</identifier>
              <para>
                <paratext>At the end of the Tenancy, the Landlord shall be entitled to withhold from the Deposit such proportion of the Deposit as may be reasonably necessary to:</paratext>
              </para>
              <subclause2 id="a677164">
                <identifier>(a)</identifier>
                <para>
                  <paratext>
                    make good any damage or lack of cleanliness to the Property or the Contents (except for fair wear and tear) caused by the Tenant's breach of its obligations under 
                    <internal.reference refid="a581032">clause 3.1</internal.reference>
                     or 
                    <internal.reference refid="a784186">clause 9.1</internal.reference>
                    ; and
                  </paratext>
                </para>
              </subclause2>
              <subclause2 id="a486263">
                <identifier>(b)</identifier>
                <para>
                  <paratext>pay any Rent which remains unpaid.</paratext>
                </para>
              </subclause2>
            </subclause1>
          </clause>
          <clause condition="optional" id="a478056">
            <identifier>6.</identifier>
            <head align="left" preservecase="true">
              <headtext>TDS arrangements</headtext>
            </head>
            <drafting.note id="a859923" jurisdiction="">
              <head align="left" preservecase="true">
                <headtext>TDS arrangements (optional clause)</headtext>
              </head>
              <division id="a000028" level="1">
                <para>
                  <paratext>
                    <internal.reference refid="a478056">Clause 6</internal.reference>
                     sets out the provisions relating to TDS, including the TDS requirements that a Landlord must comply with. There is more than one tenancy deposit scheme available. The landlord should check these clauses against any specific requirements of its chose scheme. For more information, see 
                    <link href="9-238-2955" style="ACTLinkPLCtoPLC">
                      <ital>Practice note, Tenancy Deposit Schemes</ital>
                    </link>
                    .
                  </paratext>
                </para>
                <para>
                  <paratext>
                    This clause and 
                    <internal.reference refid="a277910">clause 5</internal.reference>
                    , should be deleted if there is no Deposit. Associated provisions in 
                    <internal.reference refid="a865383">clause 3.2</internal.reference>
                     should also be deleted, as should some of the definitions in 
                    <internal.reference refid="a607205">clause 1.1</internal.reference>
                    . For more information, see the integrated drafting notes for individual definitions.
                  </paratext>
                </para>
              </division>
            </drafting.note>
            <subclause1 id="a201188">
              <identifier>6.1</identifier>
              <para>
                <paratext>Within 30 days of receiving the Deposit the Landlord shall inform the Tenant of the TDS being used and give details of the TDS as required under the membership rules of the TDS.</paratext>
              </para>
              <para>
                <paratext>
                  <bold>OR</bold>
                </paratext>
              </para>
              <para>
                <paratext>
                  The Deposit is protected by [[THE TENANCY DEPOSIT SCHEME] 
                  <bold>OR</bold>
                   [THE DEPOSIT PROTECTION SERVICE LIMITED] 
                  <bold>OR</bold>
                   [TENANCY DEPOSIT SOLUTIONS LIMITED]] of [ADDRESS, TELEPHONE NUMBER, EMAIL ADDRESS]. The Deposit is held by the [Agent 
                  <bold>OR</bold>
                   Landlord 
                  <bold>OR</bold>
                   Scheme Administrator].
                </paratext>
              </para>
            </subclause1>
            <subclause1 id="a157677">
              <identifier>6.2</identifier>
              <para>
                <paratext>
                  The Landlord [has provided 
                  <bold>OR</bold>
                   shall provide within 30 days of the Deposit being received] the information required under section 213(5) of the HA 2004 as set out in the Housing (Tenancy Deposits) (Prescribed Information) Order 2007 (
                  <ital>SI 2007/797</ital>
                  ).
                </paratext>
              </para>
            </subclause1>
            <subclause1 id="a653852">
              <identifier>6.3</identifier>
              <para>
                <paratext>The Landlord agrees that the Deposit shall be held in accordance with the rules of the TDS.</paratext>
              </para>
            </subclause1>
            <subclause1 id="a109958">
              <identifier>6.4</identifier>
              <para>
                <paratext>
                  The Landlord and Tenant agree that any interest accrued from the Deposit shall be [paid to the [Tenant 
                  <bold>OR</bold>
                   Landlord 
                  <bold>OR</bold>
                   Agent 
                  <bold>OR</bold>
                   relevant person, as defined in section 213(10) of the HA 2004] 
                  <bold>OR</bold>
                   shared equally between the Landlord and Tenant].
                </paratext>
              </para>
            </subclause1>
            <subclause1 id="a803602">
              <identifier>6.5</identifier>
              <para>
                <paratext>
                  The Landlord shall inform the Tenant within ten Working Days of the Tenancy ending if the Landlord intends to withhold all or part of the Deposit as detailed in 
                  <internal.reference refid="a277910">clause 5</internal.reference>
                  .
                </paratext>
              </para>
            </subclause1>
            <subclause1 condition="optional" id="a262646">
              <identifier>6.6</identifier>
              <para>
                <paratext>The Landlord shall inform the Scheme Administrator within ten Working Days of the Tenancy ending that the Deposit is to be repaid in the sums agreed between the Landlord and Tenant.</paratext>
              </para>
            </subclause1>
          </clause>
          <clause id="a252618">
            <identifier>7.</identifier>
            <head align="left" preservecase="true">
              <headtext>Use of Property</headtext>
            </head>
            <subclause1 id="a669569">
              <identifier>7.1</identifier>
              <para>
                <paratext>The Tenant shall:</paratext>
              </para>
              <subclause2 id="a934462">
                <identifier>(a)</identifier>
                <para>
                  <paratext>only use the Property as a private dwelling house for the use of the Lawful Occupiers;</paratext>
                </para>
              </subclause2>
              <subclause2 id="a689814">
                <identifier>(b)</identifier>
                <para>
                  <paratext>
                    immediately notify the Landlord if the immigration status of any of the Lawful Occupiers changes from that recorded in the 
                    <internal.reference refid="a991103">Schedule 1</internal.reference>
                    ; and
                  </paratext>
                </para>
              </subclause2>
              <subclause2 id="a180810">
                <identifier>(c)</identifier>
                <para>
                  <paratext>not permit anyone other than the Lawful Occupiers to occupy the Property without the prior written consent of the Landlord (such consent not to be unreasonably withheld).</paratext>
                </para>
                <drafting.note id="a839239" jurisdiction="">
                  <head align="left" preservecase="true">
                    <headtext>Right to rent restriction</headtext>
                  </head>
                  <division id="a000029" level="1">
                    <para>
                      <paratext>
                        <internal.reference refid="a934462">Clause 7.1(a)</internal.reference>
                         requires the Tenant to specify, at the time of the grant of the tenancy, those people who will be occupying the Property. This allows the Landlord to know who is in occupation, and to check their immigration status as required by the right to rent legislation (see 
                        <internal.reference refid="a487441">Drafting note, Checking the immigration status of tenants</internal.reference>
                        ). The Schedule to the agreement provides a record of the occupiers, their immigration status and the date of the right to rent check. 
                        <internal.reference refid="a689814">Clause 7.1(b)</internal.reference>
                         requires the Tenant to inform the Landlord if the immigration status of any of the occupiers changes.
                      </paratext>
                    </para>
                  </division>
                </drafting.note>
              </subclause2>
            </subclause1>
            <subclause1 id="a639637">
              <identifier>7.2</identifier>
              <para>
                <paratext>The Tenant shall not use the Property for the purposes of conducting a business.</paratext>
              </para>
              <drafting.note id="a300687" jurisdiction="">
                <head align="left" preservecase="true">
                  <headtext>No business use</headtext>
                </head>
                <division id="a000030" level="1">
                  <para>
                    <paratext>
                      A Tenant operating a business from the Property may acquire additional rights of tenure over the Property under Part II of the 
                      <link href="0-503-9375" style="ACTLinkPLCtoPLC">
                        <ital>Landlord and Tenant Act 1954</ital>
                      </link>
                       (LTA 1954), which would be undesirable for a Landlord.
                    </paratext>
                  </para>
                </division>
              </drafting.note>
            </subclause1>
            <subclause1 id="a429850">
              <identifier>7.3</identifier>
              <para>
                <paratext>The Tenant shall not keep any pets or any other animals on or in the Property without the prior written consent of the Landlord (such consent not to be unreasonably withheld).</paratext>
              </para>
              <drafting.note id="a123238" jurisdiction="">
                <head align="left" preservecase="true">
                  <headtext>No pets</headtext>
                </head>
                <division id="a000031" level="1">
                  <para>
                    <paratext>
                      <internal.reference refid="a429850">Clause 7.3</internal.reference>
                       prevents a Tenant from keeping any pet on the Property without the Landlord's consent. The covenant is a qualified covenant, as the 
                      <link href="3-201-3867" style="ACTLinkPLCtoPLC">
                        <ital>former CMA guidance</ital>
                      </link>
                       stated that it was potentially unfair to have an absolute prohibition on keeping pets. The guidance indicated that it would not be unreasonable to refuse the Tenant consent to keep pets that could harm the Property, affect subsequent tenants or be a nuisance to other neighbours.
                    </paratext>
                  </para>
                  <para>
                    <paratext>
                      There may, anyway, be an implied obligation on the landlord to act reasonably in considering whether or not to grant consent. In 
                      <link href="D-102-0145" style="ACTLinkPLCtoPLC">
                        <ital>Victory Place Management Company Ltd v Kuehn &amp; Anor [2018] EWHC 132 (Ch)</ital>
                      </link>
                      , the High Court considered whether a management company had complied with an implied obligation to deal reasonably with a tenant's request to keep a dog. The tenant claimed the management company's "no pets" policy amounted to an illegitimate predetermination to reach a particular decision and was 
                      <link href="6-200-9152" style="ACTLinkPLCtoPLC">
                        <ital>Wednesbury unreasonable</ital>
                      </link>
                      . The court upheld the injunction for the removal of the dog. It held that the policy was not unreasonable or irrational and the management company had not adopted an unfair process. It was reasonable to take into account the "no pets" policy preferred by the majority of tenants, but this was not the only consideration, as the management company was also wiling to consider special circumstances. For more information, see 
                      <link href="w-012-9657" style="ACTLinkPLCtoPLC">
                        <ital>Legal update, Management company acted reasonably when it refused permission for a dog (High Court)</ital>
                      </link>
                      .
                    </paratext>
                  </para>
                  <para>
                    <paratext>
                      For an example of where a sufferer of bipolar mood disorder unsuccessfully argued that a covenant prohibiting pets breached the 
                      <link href="3-508-1438" style="ACTLinkPLCtoPLC">
                        <ital>Disability Discrimination Act 1995</ital>
                      </link>
                      , see 
                      <link href="D-000-3296" style="ACTLinkURL">
                        <ital>Thomas-Ashley v Drum Housing Association Ltd [2010] EWCA Civ 265</ital>
                      </link>
                      .
                    </paratext>
                  </para>
                </division>
              </drafting.note>
            </subclause1>
            <subclause1 id="a641056">
              <identifier>7.4</identifier>
              <para>
                <paratext>The Tenant shall not do anything to or on the Property that:</paratext>
              </para>
              <subclause2 id="a547044">
                <identifier>(a)</identifier>
                <para>
                  <paratext>causes a nuisance, annoyance or damage to occupiers of neighbouring, adjoining or adjacent property, or the owners or occupiers of them;</paratext>
                </para>
              </subclause2>
              <subclause2 id="a473005">
                <identifier>(b)</identifier>
                <para>
                  <paratext>involves using the Property for immoral or illegal purposes; or</paratext>
                </para>
              </subclause2>
              <subclause2 id="a536812">
                <identifier>(c)</identifier>
                <para>
                  <paratext>
                    has the effect of invalidating the insurance that the Landlord has taken out in accordance with 
                    <internal.reference refid="a731435">clause 11.2</internal.reference>
                    . The Landlord shall provide the Tenant with a summary of the relevant insurance requirements.
                  </paratext>
                </para>
                <drafting.note id="a117165" jurisdiction="">
                  <head align="left" preservecase="true">
                    <headtext>Landlord's insurance</headtext>
                  </head>
                  <division id="a000032" level="1">
                    <para>
                      <paratext>
                        The 
                        <link href="3-201-3867" style="ACTLinkPLCtoPLC">
                          <ital>former CMA guidance</ital>
                        </link>
                         stated that it would be unfair to require the Tenant to comply with the Landlord's insurance policy without stipulating that the Landlord will provide a copy of the relevant provisions to the Tenant.
                      </paratext>
                    </para>
                    <para>
                      <paratext>
                        For information on the Tenant's insurance rights under the Landlord and Tenant Act 1985, see 
                        <link anchor="a867475" href="6-500-1845" style="ACTLinkPLCtoPLC">
                          <ital>Practice note, Leases: Insurance: Part 4: insurance rights of residential tenants under the Landlord and Tenant Act 1985</ital>
                        </link>
                        ..
                      </paratext>
                    </para>
                  </division>
                </drafting.note>
              </subclause2>
            </subclause1>
            <subclause1 id="a250149">
              <identifier>7.5</identifier>
              <para>
                <paratext>The Tenant shall send the Landlord a copy of any notice or other communication affecting the Property within seven days of receipt and shall not take any action regarding such notices or communications without the prior consent of the Landlord.</paratext>
              </para>
              <drafting.note id="a251401" jurisdiction="">
                <head align="left" preservecase="true">
                  <headtext>Notices affecting the Property</headtext>
                </head>
                <division id="a000033" level="1">
                  <para>
                    <paratext>
                      <internal.reference refid="a250149">Clause 7.5</internal.reference>
                       requires any notice or communication affecting the Property to be sent to the Landlord within seven days of receipt and that no action is to be taken without the consent of the Landlord.
                    </paratext>
                  </para>
                  <para>
                    <paratext>
                      An example of such a notice would be a notice served under the 
                      <link href="8-106-4539" style="ACTLinkPLCtoPLC">
                        <ital>Party Wall etc. Act 1996</ital>
                      </link>
                      . A party wall is a wall which separates two adjoining buildings belonging to different owners. Any works undertaken in relation to the party wall such as extensions, damp proofing works, structural refurbishment, constructing foundations and some forms of internal refurbishment, must first be referred to the neighbouring property for agreement to allow the works to take place. 
                      <internal.reference refid="a250149">Clause 7.5</internal.reference>
                       prevents the Tenant from agreeing to any works without first referring the matter to the Landlord. The seven day time limit ensures that the Landlord is informed promptly of any application concerning the party wall.
                    </paratext>
                  </para>
                  <para>
                    <paratext>
                      For further information on the legal requirements relating to party walls, see 
                      <link href="8-383-5739" style="ACTLinkPLCtoPLC">
                        <ital>Practice note, The Party Wall etc. Act 1996</ital>
                      </link>
                      .
                    </paratext>
                  </para>
                </division>
              </drafting.note>
            </subclause1>
            <subclause1 id="a925295">
              <identifier>7.6</identifier>
              <para>
                <paratext>The Tenant shall not commission an Energy Performance Certificate for the Property without the Landlord's consent [such consent not to be unreasonably withheld].</paratext>
              </para>
              <drafting.note id="a585244" jurisdiction="">
                <head align="left" preservecase="true">
                  <headtext>Prohibition on Tenant commissioning EPC</headtext>
                </head>
                <division id="a000034" level="1">
                  <para>
                    <paratext>
                      The landlord may want to restrict the tenant's ability to commission an Energy Performance Certificate (EPC), to avoid the risk of the tenant's EPC (which may show a lower EPC rating) invalidating an existing EPC for the property. One reason for this is that a lower EPC rating may have implications under the 
                      <ital>Energy Efficiency (Private Rented Property) (England and Wales) Regulations 2015 (SI 2015/962)</ital>
                       (MEES Regulations). For more information, see 
                      <link href="w-016-3012" style="ACTLinkPLCtoPLC">
                        <ital>Practice note, MEES and residential property: a quick guide</ital>
                      </link>
                      .
                    </paratext>
                  </para>
                  <para>
                    <paratext>An outright prohibition on the tenant commissioning an EPC would arguably be ineffective. This is because observing this prohibition could put the tenant in breach of its statutory obligation to produce an EPC (for example, where it is assigning or subletting, although it may be possible for the tenant to use an existing valid EPC in these circumstances).</paratext>
                  </para>
                  <para>
                    <paratext>
                      <internal.reference refid="a925295">clause 7.6</internal.reference>
                       prohibits the tenant from commissioning an EPC without the landlord's consent. This may allow the landlord some influence over who is commissioned to do the EPC and whether they are briefed fully (to avoid an unnecessarily low rating emerging). This may help avoid compliance problems with the MEES Regulations at a later stage.
                    </paratext>
                  </para>
                  <para>
                    <paratext>
                      For more information, see 
                      <link anchor="a503738" href="1-383-6068" style="ACTLinkPLCtoPLC">
                        <ital>Practice note, Energy performance certificates (EPCs): drafting implications for commercial property: Control when and how the tenant commissions an EPC</ital>
                      </link>
                      . Although this practice note has been written with commercial property in mind, the reasoning in this section also applies to residential property.
                    </paratext>
                  </para>
                </division>
              </drafting.note>
            </subclause1>
          </clause>
          <clause id="a194439">
            <identifier>8.</identifier>
            <head align="left" preservecase="true">
              <headtext>Assignment or subletting</headtext>
            </head>
            <drafting.note id="a897462" jurisdiction="">
              <head align="left" preservecase="true">
                <headtext>Assignment or subletting</headtext>
              </head>
              <division id="a000035" level="1">
                <para>
                  <paratext>
                    <internal.reference refid="a194439">Clause 8</internal.reference>
                     prevents the Tenant from assigning or subletting the Property without the consent of the Landlord. If this clause were not included, then the Tenant would be free to assign or sublet the Property to persons who have not been vetted by the Landlord and could also sublet at a profit, to the detriment of its Landlord.
                  </paratext>
                </para>
                <para>
                  <paratext>
                    The 
                    <link href="3-201-3867" style="ACTLinkPLCtoPLC">
                      <ital>OFT guidance</ital>
                    </link>
                     stated that in a fixed term tenancy an absolute ban on assignment and subletting might be considered unfair. Expressly allowing the Tenant to assign or sublet with consent that is not to be unreasonably withheld was considered a fairer balance. The guidance also suggested that the Landlord might prohibit assignment for a minimum period at the start of the Tenancy. For example, for the first three months in an agreement of six months or longer. This is a point on which the practitioner should obtain express instructions from the Landlord.
                  </paratext>
                </para>
              </division>
            </drafting.note>
            <subclause1 id="a750357">
              <para>
                <paratext>The Tenant shall not assign, sublet, part with or share possession of the whole or any part of the Property without the prior written consent of the Landlord (such consent not to be unreasonably withheld).</paratext>
              </para>
            </subclause1>
          </clause>
          <clause id="a639698">
            <identifier>9.</identifier>
            <head align="left" preservecase="true">
              <headtext>Repairs and alterations</headtext>
            </head>
            <subclause1 id="a784186">
              <identifier>9.1</identifier>
              <para>
                <paratext>The Tenant shall keep the interior of the Property clean, tidy and in the same condition as at the start of the Tenancy (except for fair wear and tear) and shall return the Property to the Landlord at the end of the Tenancy cleaned to a professional standard.</paratext>
              </para>
              <drafting.note id="a967228" jurisdiction="">
                <head align="left" preservecase="true">
                  <headtext>Repairing covenant</headtext>
                </head>
                <division id="a000036" level="1">
                  <para>
                    <paratext>
                      This provision aims to strike a fair balance between the interests of the Landlord and the Tenant. To be effective, it should be accompanied by a schedule of condition. The 
                      <link href="3-201-3867" style="ACTLinkPLCtoPLC">
                        <ital>former CMA guidance</ital>
                      </link>
                       noted that an obligation "to keep a property in good repair" would require the Tenant to put the Property into repair if it was in disrepair. This would be potentially unfair, unless the scope of the covenant was made clear to the Tenant. In most cases, a Tenant would (rightly) object to a covenant that would require them to repair the Property to a better condition than when it was let.
                    </paratext>
                  </para>
                  <para>
                    <paratext>
                      The TFA 2019 prohibits the Landlord from charging the Tenant to have the Property professionally cleaned at the end of the Tenancy. The Landlord is, however, able to require the Tenant to return the Property cleaned to a professional standard, and if the Tenant failed to do so this would be a breach of the Tenancy for which the Landlord could seek damages. For more information on the TFA 2019, see 
                      <link href="w-019-2599" style="ACTLinkPLCtoPLC">
                        <ital>Practice note, Prohibited payments under the Tenant Fees Act 2019</ital>
                      </link>
                      .
                    </paratext>
                  </para>
                  <para>
                    <paratext>
                      The RHFWA 2019 contains similar provisions in relation to ASTs in Wales, see 
                      <link href="w-020-5209" style="ACTLinkPLCtoPLC">
                        <ital>Practice note, Prohibited payments under the Renting Homes (Fees etc) (Wales) Act 2019</ital>
                      </link>
                      .
                    </paratext>
                  </para>
                </division>
              </drafting.note>
            </subclause1>
            <subclause1 id="a982119">
              <identifier>9.2</identifier>
              <para>
                <paratext>If the Property has a garden, the Tenant shall keep it clean and tidy, and free from rubbish.</paratext>
              </para>
            </subclause1>
            <subclause1 id="a574847">
              <identifier>9.3</identifier>
              <para>
                <paratext>The Tenant shall keep the inside and outside of all windows that the Tenant can reasonably reach clean.</paratext>
              </para>
            </subclause1>
            <subclause1 id="a784354">
              <identifier>9.4</identifier>
              <para>
                <paratext>The Tenant shall promptly replace all broken glass at the Property where the Tenant, or the Tenant's family or visitors cause the breakage.</paratext>
              </para>
              <drafting.note id="a638144" jurisdiction="">
                <head align="left" preservecase="true">
                  <headtext>Broken glass</headtext>
                </head>
                <division id="a000037" level="1">
                  <para>
                    <paratext>
                      Although the landlord is responsible for repairs to the structure of the Property (including the external windows) under 
                      <link href="8-513-4750" style="ACTLinkPLCtoPLC">
                        <ital>section 11</ital>
                      </link>
                       of the LTA 1985, the 
                      <link href="3-201-3867" style="ACTLinkPLCtoPLC">
                        <ital>former CMA guidance</ital>
                      </link>
                       did not consider it unreasonable for the Tenant to be responsible for repairing glass that had been broken by the Tenant, its family or visitors.
                    </paratext>
                  </para>
                  <para>
                    <paratext>
                      For more information, see 
                      <link href="w-018-7190" style="ACTLinkPLCtoPLC">
                        <ital>Practice note, LTA 1985: Landlord's implied covenants for repair and fitness for human habitation</ital>
                      </link>
                      .
                    </paratext>
                  </para>
                </division>
              </drafting.note>
            </subclause1>
            <subclause1 id="a702245">
              <identifier>9.5</identifier>
              <para>
                <paratext>
                  The Tenant shall not cause any blockage to the drains, gutters and pipes of the Property. This obligation does not require the Tenant to carry out any works or repairs for which the Landlord is liable under 
                  <internal.reference refid="a706586">clause 11.5</internal.reference>
                  .
                </paratext>
              </para>
            </subclause1>
            <subclause1 id="a641267">
              <identifier>9.6</identifier>
              <para>
                <paratext>The Tenant shall not make any alteration, addition, or redecorate the Property [without the prior consent of the Landlord (such consent not to be unreasonably withheld)].</paratext>
              </para>
              <drafting.note id="a233640" jurisdiction="">
                <head align="left" preservecase="true">
                  <headtext>No alterations or additions to the Property</headtext>
                </head>
                <division id="a000038" level="1">
                  <para>
                    <paratext>
                      <internal.reference refid="a641267">Clause 9.6</internal.reference>
                       prohibits the Tenant from making any alterations or additions to the Property or redecorating the Property. The clause contains optional wording to allow alterations and redecorating if the Tenant obtains the Landlord's consent.
                    </paratext>
                  </para>
                </division>
              </drafting.note>
            </subclause1>
            <subclause1 condition="optional" id="a735191">
              <identifier>9.7</identifier>
              <para>
                <paratext>The Tenant shall not carry out any alteration to the Property which would [, or may reasonably be expected to,] have an adverse effect on the asset rating in any Energy Performance Certificate for the Property or the building of which it forms part.</paratext>
              </para>
              <drafting.note id="a308999" jurisdiction="">
                <head align="left" preservecase="true">
                  <headtext>No alterations that adversely affect EPC asset rating (optional clause)</headtext>
                </head>
                <division id="a000039" level="1">
                  <para>
                    <paratext>
                      The landlord may want a specific restriction on the tenant carrying out alterations which would have an adverse effect on the asset rating of the EPC. One reason for this is that a lower EPC rating may have implications under the MEES Regulations. For more information, see 
                      <link href="w-016-3012" style="ACTLinkPLCtoPLC">
                        <ital>Practice notes, MEES and residential property: a quick guide</ital>
                      </link>
                       and 
                      <link href="w-012-9872" style="ACTLinkPLCtoPLC">
                        <ital>MEES: minimum energy efficiency standards for residential property</ital>
                      </link>
                      .
                    </paratext>
                  </para>
                  <para>
                    <paratext>
                      If there is an absolute prohibition on alterations (that is, if the optional wording in clause 9.6 has 
                      <bold>not</bold>
                       been included) there is no need to include this optional clause 9.7. If there is a qualified prohibition on alterations (that is, if the optional wording in clause 9.6 has been included) optional clause 9.7 should be included.
                    </paratext>
                  </para>
                  <para>
                    <paratext>It could be argued that a specific restriction on the tenant carrying out alterations which would have an adverse effect on the EPC rating is not necessary in leases that include a qualified prohibition on tenant alterations, as it would be reasonable for a landlord to refuse consent to alterations on this basis. However, whether a landlord is acting reasonably is something that the court will decide on the specific facts and it is not possible to say that withholding consent to alterations because of a fear that the EPC rating will be adversely affected would (or would not) be reasonable in every instance.</paratext>
                  </para>
                  <para>
                    <paratext>Note that, even if clause 9.7 is included, there could still be potential argument about whether the proposed works will or will not have an adverse effect on the EPC asset rating.</paratext>
                  </para>
                  <para>
                    <paratext>
                      For more information, see 
                      <link anchor="a228294" href="1-383-6068" style="ACTLinkPLCtoPLC">
                        <ital>Practice note, Energy performance certificates (EPCs): drafting implications for commercial property: Limit alterations that result in a worse EPC rating</ital>
                      </link>
                      . Although this practice note has been written with commercial property in mind, most of the reasoning in this section also applies to residential property.
                    </paratext>
                  </para>
                </division>
              </drafting.note>
            </subclause1>
          </clause>
          <clause id="a435994">
            <identifier>10.</identifier>
            <head align="left" preservecase="true">
              <headtext>Utilities and outgoings</headtext>
            </head>
            <subclause1 id="a229690">
              <identifier>10.1</identifier>
              <para>
                <paratext>The Tenant shall pay all charges for gas, electricity, water and sewerage services, telephone, cable or satellite television (if the Property has these) used by the Tenant at the Property.</paratext>
              </para>
            </subclause1>
            <subclause1 id="a783219">
              <identifier>10.2</identifier>
              <para>
                <paratext>The Tenant shall comply with all laws and recommendations of the relevant suppliers relating to the use of those services and utilities.</paratext>
              </para>
            </subclause1>
            <subclause1 id="a903270">
              <identifier>10.3</identifier>
              <para>
                <paratext>Where the Tenant allows, either by default of payment or specific instruction, the utility or other services to be cut off, the Tenant shall pay the costs associated with reconnecting or resuming those services.</paratext>
              </para>
            </subclause1>
            <subclause1 id="a703089">
              <identifier>10.4</identifier>
              <para>
                <paratext>The Tenant shall pay for a television licence for the Property if a licence is required.</paratext>
              </para>
              <drafting.note id="a860554" jurisdiction="">
                <head align="left" preservecase="true">
                  <headtext>Television licence</headtext>
                </head>
                <division id="a000040" level="1">
                  <para>
                    <paratext>
                      Under the TFA 2019 and the RHFWA 2019, a payment to the BBC for a television licence is a permitted payment if the tenancy agreement requires the tenant to make the payment. It appears therefore that it will not be a permitted payment if the landlord obtains the television licence and charges the cost to the tenant. For more information, see 
                      <link anchor="a843926" href="w-019-2599" style="ACTLinkPLCtoPLC">
                        <ital>Practice note, Prohibited payments under the Tenant Fees Act 2019: Television licence</ital>
                      </link>
                       and 
                      <link anchor="a212380" href="w-020-5209" style="ACTLinkPLCtoPLC">
                        <ital>Practice note, Prohibited payments under the Renting Homes (Fees etc) (Wales) Act 2019: Television licence</ital>
                      </link>
                      .
                    </paratext>
                  </para>
                </division>
              </drafting.note>
            </subclause1>
            <subclause1 id="a519451">
              <identifier>10.5</identifier>
              <para>
                <paratext>The Tenant shall pay to the relevant local authority the Council tax for the Property.</paratext>
              </para>
              <drafting.note id="a323838" jurisdiction="">
                <head align="left" preservecase="true">
                  <headtext>Council Tax</headtext>
                </head>
                <division id="a000041" level="1">
                  <para>
                    <paratext>
                      The TFA 2019 permits payment of Council Tax direct to the local authority, but does not permit Council Tax to be paid to the Landlord (unless it is included in the rent). See 
                      <link anchor="a454085" href="w-019-2599" style="ACTLinkPLCtoPLC">
                        <ital>Practice note, Prohibited payments under the Tenant Fees Act 2019: Council tax</ital>
                      </link>
                      .
                    </paratext>
                  </para>
                  <para>
                    <paratext>
                      The RHFWA 2019 also permits payment of Council Tax to a billing authority, see 
                      <link anchor="a243138" href="w-020-5209" style="ACTLinkPLCtoPLC">
                        <ital>Practice note, Prohibited payments under the Renting Homes (Fees etc) (Wales) Act 2019: Council tax</ital>
                      </link>
                      .
                    </paratext>
                  </para>
                  <para>
                    <paratext>This has the potential to cause a problem for a Landlord of a house in multiple occupation (HMO) as some local authorities demand Council Tax from the owner of an HMO, even though the tenants have paid the Council Tax directly to the local authority in accordance with the terms of the tenancies. If the agreement is being used by a landlord of an HMO, the Landlord may consider making the rent inclusive of Council Tax.</paratext>
                  </para>
                </division>
              </drafting.note>
            </subclause1>
            <subclause1 id="a439442">
              <identifier>10.6</identifier>
              <para>
                <paratext>If any of the costs in this clause are payable in relation to the Property together with other property, the Tenant shall pay a fair proportion of all those costs.</paratext>
              </para>
            </subclause1>
          </clause>
          <clause id="a574388">
            <identifier>11.</identifier>
            <head align="left" preservecase="true">
              <headtext>Landlord's covenants</headtext>
            </head>
            <subclause1 id="a745453">
              <identifier>11.1</identifier>
              <para>
                <paratext>The Landlord shall provide the Tenant with suitable means of access to and egress from the Property.</paratext>
              </para>
            </subclause1>
            <subclause1 id="a731435">
              <identifier>11.2</identifier>
              <para>
                <paratext>The Landlord shall insure the Property and Contents to their full value against loss or damage by the Insured Risks and shall provide a copy of the insurance cover to the Tenant if requested. The Landlord's insurance does not cover the Tenant's possessions. The Tenant is advised to insure the Tenant's own possessions with a reputable insurer.</paratext>
              </para>
              <drafting.note id="a416572" jurisdiction="">
                <head align="left" preservecase="true">
                  <headtext>Insurance</headtext>
                </head>
                <division id="a000042" level="1">
                  <para>
                    <paratext>
                      The 
                      <link href="3-201-3867" style="ACTLinkPLCtoPLC">
                        <ital>former CMA guidance</ital>
                      </link>
                       stated that it would be unfair to require the Tenant to take out insurance for its possessions. This clause draws the Tenant's attention to the fact that it should arrange its own insurance.
                    </paratext>
                  </para>
                </division>
              </drafting.note>
            </subclause1>
            <subclause1 id="a663244">
              <identifier>11.3</identifier>
              <para>
                <paratext>The Landlord shall make good any damage caused by an Insured Risk, unless the damage was caused by the wilful actions, negligence or default of the Tenant.</paratext>
              </para>
            </subclause1>
            <subclause1 id="a675856">
              <identifier>11.4</identifier>
              <para>
                <paratext>The Landlord shall allow the Tenant quiet enjoyment of the Property without any interruption by the Landlord.</paratext>
              </para>
            </subclause1>
            <subclause1 id="a706586">
              <identifier>11.5</identifier>
              <para>
                <paratext>In accordance with section 11 of the LTA 1985, the Landlord shall:</paratext>
              </para>
              <subclause2 id="a996178">
                <identifier>(a)</identifier>
                <para>
                  <paratext>keep in repair the structure and exterior of the Property (including drains, external pipes, gutters and external windows);</paratext>
                </para>
              </subclause2>
              <subclause2 id="a924705">
                <identifier>(b)</identifier>
                <para>
                  <paratext>keep in repair and proper working order the installations in the Property for the supply of water, gas and electricity and for sanitation (including basins, sinks, baths and sanitary conveniences, but not other fixtures, fittings and appliances for making use of the supply of water, gas or electricity); and</paratext>
                </para>
              </subclause2>
              <subclause2 id="a831004">
                <identifier>(c)</identifier>
                <para>
                  <paratext>keep in repair and proper working order the installations in the Property for space heating and heating water.</paratext>
                </para>
                <drafting.note id="a911791" jurisdiction="">
                  <head align="left" preservecase="true">
                    <headtext>Section 11 of the LTA 1985</headtext>
                  </head>
                  <division id="a000043" level="1">
                    <para>
                      <paratext>
                        Tenancies for less than seven years must comply with the statutory repairing covenants set out in 
                        <link href="8-513-4750" style="ACTLinkPLCtoPLC">
                          <ital>section 11</ital>
                        </link>
                         of the LTA 1985. Section 11 cannot be excluded without a court order (
                        <link href="w-019-5179" style="ACTLinkPLCtoPLC">
                          <ital>section 12</ital>
                        </link>
                        <ital>, LTA 1985</ital>
                        ). So if, for example, a tenancy agreement says that the Tenant will be responsible for the repair of the boiler, this will be invalid unless it has been sanctioned by a court order obtained prior to the start of the tenancy.
                      </paratext>
                    </para>
                    <para>
                      <paratext>The Homes (Fitness for Human Habitation) Act 2018 also implies a landlord covenant into a tenancy granted for less than seven years in England that:</paratext>
                    </para>
                    <list type="bulleted">
                      <list.item>
                        <para>
                          <paratext>It is fit for human habitation at the time the tenancy is granted or created or, if later, at the beginning of the term of the tenancy.</paratext>
                        </para>
                      </list.item>
                      <list.item>
                        <para>
                          <paratext>It will remain fit for human habitation during the term of the tenancy.</paratext>
                        </para>
                      </list.item>
                    </list>
                    <para>
                      <paratext>
                        (
                        <ital>Section 9A(1), LTA 1985</ital>
                        .)
                      </paratext>
                    </para>
                    <para>
                      <paratext>
                        For more information, see 
                        <link href="w-018-7190" style="ACTLinkPLCtoPLC">
                          <ital>Practice note, LTA 1985: Landlord's implied covenants for repair and fitness for human habitation</ital>
                        </link>
                        .
                      </paratext>
                    </para>
                  </division>
                </drafting.note>
              </subclause2>
            </subclause1>
            <subclause1 id="a955190">
              <identifier>11.6</identifier>
              <para>
                <paratext>The Landlord shall not be required to:</paratext>
              </para>
              <subclause2 id="a787672">
                <identifier>(a)</identifier>
                <para>
                  <paratext>carry out any works or repairs for which the Tenant is liable by virtue of this agreement; or</paratext>
                </para>
              </subclause2>
              <subclause2 id="a802654">
                <identifier>(b)</identifier>
                <para>
                  <paratext>keep in repair or maintain anything which the Tenant is entitled to remove from the Property.</paratext>
                </para>
              </subclause2>
            </subclause1>
            <subclause1 condition="optional" id="a209797">
              <identifier>11.7</identifier>
              <para>
                <paratext>The Landlord shall keep in repair the cooker, washing machine, tumble dryer, fridge, freezer and dishwasher (if these appliances are at the Property and provided by the Landlord).</paratext>
              </para>
              <drafting.note id="a727377" jurisdiction="">
                <head align="left" preservecase="true">
                  <headtext>Repair of appliances</headtext>
                </head>
                <division id="a000044" level="1">
                  <para>
                    <paratext>Repairs to appliances that are provided by the Landlord can be a source of dispute between the Landlord and Tenant. This clause aims to avoid any dispute by making it clear that the Landlord is responsible for such repairs. Whether this is appropriate for a particular letting will depend on instructions from the Landlord.</paratext>
                  </para>
                </division>
              </drafting.note>
            </subclause1>
          </clause>
          <clause id="a794075">
            <identifier>12.</identifier>
            <head align="left" preservecase="true">
              <headtext>Default by the Tenant</headtext>
            </head>
            <drafting.note id="a774599" jurisdiction="">
              <head align="left" preservecase="true">
                <headtext>Default by the Tenant</headtext>
              </head>
              <division id="a000045" level="1">
                <para>
                  <paratext>
                    For information on ending an AST, see 
                    <link href="2-503-9275" style="ACTLinkPLCtoPLC">
                      <ital>Practice note, Ending an assured shorthold tenancy</ital>
                    </link>
                    .
                  </paratext>
                </para>
              </division>
            </drafting.note>
            <subclause1 id="a811624">
              <identifier>12.1</identifier>
              <para>
                <paratext>The Landlord reserves the right to re-enter the Property if:</paratext>
              </para>
              <subclause2 id="a648863">
                <identifier>(a)</identifier>
                <para>
                  <paratext>the Rent is unpaid 21 days after becoming payable whether it has been formally demanded or not;</paratext>
                </para>
              </subclause2>
              <subclause2 id="a119631">
                <identifier>(b)</identifier>
                <para>
                  <paratext>the Tenant is declared bankrupt under the Insolvency Act 1986;</paratext>
                </para>
                <drafting.note id="a550055" jurisdiction="">
                  <head align="left" preservecase="true">
                    <headtext>Bankruptcy</headtext>
                  </head>
                  <division id="a000046" level="1">
                    <para>
                      <paratext>Whether a landlord should require a right of re-entry in the event of a Tenant becoming insolvent, but where there has been no breach of a covenant of the agreement, is debatable. However, this clause is included, as bankruptcy brings a danger that a Tenant may be unable to pay further Rent on the Property.</paratext>
                    </para>
                    <para>
                      <paratext>
                        For further details on bankruptcy see 
                        <link href="9-107-3920" style="ACTLinkPLCtoPLC">
                          <ital>Practice note, Tenant insolvency and its effect on the landlord</ital>
                        </link>
                        .
                      </paratext>
                    </para>
                  </division>
                </drafting.note>
              </subclause2>
              <subclause2 id="a861401">
                <identifier>(c)</identifier>
                <para>
                  <paratext>the Tenant has breached the agreement; or</paratext>
                </para>
              </subclause2>
              <subclause2 id="a786180">
                <identifier>(d)</identifier>
                <para>
                  <paratext>any of the Grounds 2, 7 (in England only), 7A, 7B (in England only), 8, 10-15 and 17 set out in Schedule 2 of the HA 1988 apply.</paratext>
                </para>
                <para>
                  <paratext>
                    This 
                    <internal.reference refid="a811624">clause 12.1</internal.reference>
                     does not affect any rights of the Tenant under the Protection from Eviction Act 1977. The Landlord cannot evict the Tenant without a court having first made an order for possession.
                  </paratext>
                </para>
                <drafting.note id="a852917" jurisdiction="">
                  <head align="left" preservecase="true">
                    <headtext>Regaining possession</headtext>
                  </head>
                  <division id="a000047" level="1">
                    <para>
                      <paratext>
                        The 
                        <link href="3-201-3867" style="ACTLinkPLCtoPLC">
                          <ital>former CMA guidance</ital>
                        </link>
                         stated that the tenancy agreement should make it clear that the Landlord must obtain a court order before they can regain possession of the Property. For more information on ending an AST, see 
                        <link href="2-503-9275" style="ACTLinkPLCtoPLC">
                          <ital>Practice note, Ending an assured shorthold tenancy</ital>
                        </link>
                        .
                      </paratext>
                    </para>
                    <para>
                      <paratext>
                        Certain grounds for possession require the Landlord to have served notice on the Tenant before the tenancy agreement is entered into. See 
                        <link href="0-503-9200#a920711" style="ACTLinkPLCtoPLC">
                          <ital>Practice note, Granting an assured shorthold tenancy: Advance notice of grounds for possession</ital>
                        </link>
                        .
                      </paratext>
                    </para>
                    <para>
                      <paratext>During the fixed term of an AST, the landlord may only end the tenancy if both of the following apply:</paratext>
                    </para>
                    <list type="bulleted">
                      <list.item>
                        <para>
                          <paratext>The landlord can satisfy one of grounds 2, 7(in England only), 7A, 7B (in England only), 8, 10 to 15 and 17.</paratext>
                        </para>
                      </list.item>
                      <list.item>
                        <para>
                          <paratext>The AST provides that the tenancy can be brought to an end on the ground in question (however see below in relation to Ground 7B).</paratext>
                        </para>
                      </list.item>
                    </list>
                    <para>
                      <paratext>
                        (
                        <link href="8-508-4991" style="ACTLinkPLCtoPLC">
                          <ital>Section 7(6) and (6A)</ital>
                        </link>
                        , HA 1988.)
                      </paratext>
                    </para>
                    <para>
                      <paratext>
                        It is not a requirement that the AST provides that the tenancy can be brought to an end on Ground 7B where the landlord wishes to rely on that ground during the fixed term (section 7(6B) HA 1988, as amended by section 41(3)(d), IA 2016). See 
                        <link anchor="a573776" href="w-003-7297" style="ACTLinkPLCtoPLC">
                          <ital>Practice note, Immigration Act 2014: criminal offences for landlords and eviction of illegal immigrant tenants: New Ground 7B in Schedule 2 to the Housing Act 1988</ital>
                        </link>
                        . Reference to section 7B has, however, been included in 
                        <internal.reference refid="a786180">clause 12.1(d)</internal.reference>
                         for completeness.
                      </paratext>
                    </para>
                    <para>
                      <paratext>
                        For more information, see 
                        <link anchor="a289379" href="9-627-8266" style="ACTLinkPLCtoPLC">
                          <ital>Practice note, HA 1988: Ending an assured shorthold tenancy: section 8 notice: Termination during the fixed term</ital>
                        </link>
                        .
                      </paratext>
                    </para>
                  </division>
                </drafting.note>
              </subclause2>
            </subclause1>
            <subclause1 id="a915836">
              <identifier>12.2</identifier>
              <para>
                <paratext>If the Landlord re-enters the Property pursuant to this clause, then the Tenancy shall immediately end. Any right or remedy of the Landlord in respect of any breach of the terms of this agreement by the Tenant shall remain in force.</paratext>
              </para>
            </subclause1>
            <subclause1 id="a991436">
              <identifier>12.3</identifier>
              <para>
                <paratext>If the Tenant breaches this agreement or fails to fulfil any of its obligations under this agreement, the Tenant shall pay any reasonable costs properly incurred by the Landlord in remedying such breaches or in connection with the enforcement of those obligations.</paratext>
              </para>
              <drafting.note id="a284517" jurisdiction="">
                <head align="left" preservecase="true">
                  <headtext>Tenant's breach</headtext>
                </head>
                <division id="a000048" level="1">
                  <para>
                    <paratext>
                      Damages are a permitted payment under the TFA 2019 (
                      <ital>paragraph 5, Schedule 1, TFA 2019</ital>
                      ). This provision provides contractual confirmation of the Landlord's entitlement to seek damages for the Tenant's breach of the tenancy agreement; the clause cannot be used by the Landlord to claim more than it would be entitled to as damages under contract law. For information on damages for breach of contract, see 
                      <link href="6-533-8545" style="ACTLinkPLCtoPLC">
                        <ital>Practice note: overview, Damages for breach of contract: an overview</ital>
                      </link>
                      . Legal costs incurred as a result of breach of contract can be recovered as damages, where they were incurred in actions against third parties or previous actions against the defendant. The costs of the dispute over the breach of contract itself, although caused by the breach, fall within the exclusive jurisdiction of the courts’ costs regime and cannot be claimed as damages at common law. See 
                      <link href="D-013-9040" style="ACTLinkPLCtoPLC">
                        <ital>Hutchinson v Harris (1978) 10 BLR 19</ital>
                      </link>
                      .
                    </paratext>
                  </para>
                  <para>
                    <paratext>
                      The RHFWA 2019 does not list damages as a permitted payment expressly. However, if an AST requires a payment to be made in the event of default by the tenant, such a payment is a permitted payment. The payments attached to certain events of default may be made subject to prescribed limits by regulations, see 
                      <link anchor="a629618" href="w-020-5209" style="ACTLinkPLCtoPLC">
                        <ital>Practice note, Prohibited payments under the Renting Homes (Fees etc) (Wales) Act 2019: Event of default</ital>
                      </link>
                      .
                    </paratext>
                  </para>
                </division>
              </drafting.note>
            </subclause1>
          </clause>
          <clause id="a285336">
            <identifier>13.</identifier>
            <head align="left" preservecase="true">
              <headtext>Guarantee and indemnity</headtext>
            </head>
            <drafting.note id="a154207" jurisdiction="">
              <head align="left" preservecase="true">
                <headtext>Guarantee and indemnity (optional clause)</headtext>
              </head>
              <division id="a000049" level="1">
                <para>
                  <paratext>It is normal practice with residential tenancies for the Landlord to accept a Deposit as security from the Tenant. In some residential tenancies, a Landlord may require a Guarantor in addition to (or possibly instead of) a Deposit.</paratext>
                </para>
                <para>
                  <paratext>
                    This optional 
                    <internal.reference refid="a285336">clause 13</internal.reference>
                     has been inserted to cover the situation where a Landlord requires the additional security that the appointment of a Guarantor brings. Examples of when such a clause may be necessary are:
                  </paratext>
                </para>
                <list type="bulleted">
                  <list.item>
                    <para>
                      <paratext>The Tenant has a low income and the Landlord is unsure as to whether the Tenant would be able to meet the rent.</paratext>
                    </para>
                  </list.item>
                  <list.item>
                    <para>
                      <paratext>The Tenant has only recently moved to the UK.</paratext>
                    </para>
                  </list.item>
                  <list.item>
                    <para>
                      <paratext>The Tenant has no rental history and the Landlord is unable to get references from a previous landlord.</paratext>
                    </para>
                  </list.item>
                  <list.item>
                    <para>
                      <paratext>The Tenant is not resident in the UK, but the Guarantor is.</paratext>
                    </para>
                  </list.item>
                </list>
                <para>
                  <paratext>
                    This clause is drafted as an indemnity, as well as a guarantee, giving the Guarantor primary liability for the Tenant's covenants from the outset. This allows the Landlord to pursue either the Tenant or the Guarantor, in the event of a default by the Tenant. For further information, see 
                    <link href="5-386-3489" style="ACTLinkPLCtoPLC">
                      <ital>Practice note, Leases: Guarantee and indemnity</ital>
                    </link>
                    .
                  </paratext>
                </para>
              </division>
            </drafting.note>
            <subclause1 id="a981040">
              <identifier>13.1</identifier>
              <para>
                <paratext>The Guarantor guarantees to the Landlord that the Tenant shall pay the Rent and observe and perform the tenant covenants of this agreement and that if the Tenant fails to pay the Rent or to observe or perform any of the tenant covenants, the Guarantor shall pay or observe and perform them.</paratext>
              </para>
            </subclause1>
            <subclause1 id="a674987">
              <identifier>13.2</identifier>
              <para>
                <paratext>
                  The Guarantor covenants with the Landlord as principal obligor and as a separate and independent obligation and liability from its obligations and liabilities under 
                  <internal.reference refid="a981040">clause 13.1</internal.reference>
                   to indemnify and keep indemnified the Landlord against any failure by the Tenant to pay the Rent or any failure to observe or perform any of the tenant covenants of this agreement.
                </paratext>
              </para>
            </subclause1>
            <subclause1 id="a673624">
              <identifier>13.3</identifier>
              <para>
                <paratext>
                  The liability of the Guarantor under 
                  <internal.reference refid="a981040">clause 13.1</internal.reference>
                   and 
                  <internal.reference refid="a674987">clause 13.2</internal.reference>
                   shall continue until the Tenancy comes to an end and the Tenant is released from the tenant covenants of this agreement.
                </paratext>
              </para>
            </subclause1>
            <subclause1 id="a410915">
              <identifier>13.4</identifier>
              <para>
                <paratext>The liability of the Guarantor shall not be reduced, discharged or otherwise adversely affected by:</paratext>
              </para>
              <subclause2 id="a165309">
                <identifier>(a)</identifier>
                <para>
                  <paratext>any time or indulgence granted by the Landlord to the Tenant;</paratext>
                </para>
              </subclause2>
              <subclause2 id="a138733">
                <identifier>(b)</identifier>
                <para>
                  <paratext>any delay or forbearance by the Landlord in enforcing the payment of the Rent or the observance or performance of any of the tenant covenants of this agreement or in making any demand in respect of them;</paratext>
                </para>
              </subclause2>
              <subclause2 id="a335792">
                <identifier>(c)</identifier>
                <para>
                  <paratext>the Landlord exercising any right or remedy against the Tenant for any failure to pay the Rent or to observe or perform the tenant covenants of this agreement; [or]</paratext>
                </para>
              </subclause2>
              <subclause2 condition="optional" id="a665547">
                <identifier>(d)</identifier>
                <para>
                  <paratext>the Landlord taking any action or refraining from taking any action in connection with the Deposit; or</paratext>
                </para>
                <drafting.note id="a911601" jurisdiction="">
                  <head align="left" preservecase="true">
                    <headtext>Guarantee without a deposit</headtext>
                  </head>
                  <division id="a000050" level="1">
                    <para>
                      <paratext>
                        If there is no Deposit, 
                        <internal.reference refid="a417560">clause 13.4(d)</internal.reference>
                         should be deleted.
                      </paratext>
                    </para>
                  </division>
                </drafting.note>
              </subclause2>
              <subclause2 condition="optional" id="a208498">
                <identifier>(e)</identifier>
                <para>
                  <paratext>the Tenant dying or becoming incapable of managing its affairs.</paratext>
                </para>
              </subclause2>
            </subclause1>
          </clause>
          <clause id="a931557">
            <identifier>14.</identifier>
            <head align="left" preservecase="true">
              <headtext>Landlord's right to enter the Property and to display signs</headtext>
            </head>
            <subclause1 id="a706065">
              <identifier>14.1</identifier>
              <para>
                <paratext>The Landlord reserves the right for the Landlord, or any person acting on behalf of the Landlord, to enter the Property on giving at least 24 hours' prior notice in writing to the Tenant:</paratext>
              </para>
              <subclause2 id="a716560">
                <identifier>(a)</identifier>
                <para>
                  <paratext>to inspect the condition and state of repair of the Property;</paratext>
                </para>
              </subclause2>
              <subclause2 id="a402634">
                <identifier>(b)</identifier>
                <para>
                  <paratext>to carry out the Landlord's obligations under this agreement;</paratext>
                </para>
              </subclause2>
              <subclause2 condition="optional" id="a823398">
                <identifier>(c)</identifier>
                <para>
                  <paratext>to carry out repairs or alterations to the next door premises;</paratext>
                </para>
              </subclause2>
              <subclause2 id="a353808">
                <identifier>(d)</identifier>
                <para>
                  <paratext>to take gas, electricity or water meter readings;</paratext>
                </para>
              </subclause2>
              <subclause2 id="a648320">
                <identifier>(e)</identifier>
                <para>
                  <paratext>to inspect the Property for the purpose of preparing an EPC and Recommendation Report for the Property or the building of which it forms part and the Tenant shall co-operate with the Landlord so far as is reasonably necessary to enable an EPC and Recommendation Report to be obtained;</paratext>
                </para>
                <drafting.note id="a427034" jurisdiction="">
                  <head align="left" preservecase="true">
                    <headtext>Co-operation over EPC</headtext>
                  </head>
                  <division id="a000051" level="1">
                    <para>
                      <paratext>This covers the situation where the Landlord wishes to commission an EPC for the property or the building in which the property is situated.</paratext>
                    </para>
                    <para>
                      <paratext>Anyone who has an interest in the building, or is in occupation of the building, is under a duty to:</paratext>
                    </para>
                    <list type="bulleted">
                      <list.item>
                        <para>
                          <paratext>Co-operate with the landlord to allow the landlord to comply with the duty to prepare an EPC and recommendation report.</paratext>
                        </para>
                      </list.item>
                      <list.item>
                        <para>
                          <paratext>Allow an energy assessor access where it is reasonably necessary for the purposes of preparing an EPC and recommendation report.</paratext>
                        </para>
                      </list.item>
                    </list>
                    <para>
                      <paratext>
                        (
                        <link href="5-525-6615" style="ACTLinkPLCtoPLC">
                          <ital>Regulation 45</ital>
                        </link>
                        , EPC Regulations.)
                      </paratext>
                    </para>
                    <para>
                      <paratext>The obligation in regulation 45 of the EPC Regulations only applies where the landlord is complying with the statutory duty to provide an EPC and recommendation report. The tenant would not be under a statutory duty to co-operate if the landlord chose to prepare an EPC voluntarily. An example of this might be if the landlord commissioned EPCs for a portfolio of properties to determine which properties would benefit from improvement works. This clause extends the requirement to co-operate to those circumstances.</paratext>
                    </para>
                    <para>
                      <paratext>
                        For more information, see 
                        <link anchor="a71501" href="1-383-6068" style="ACTLinkPLCtoPLC">
                          <ital>Practice note, Energy performance certificates (EPCs): drafting implications for commercial property: Co-operation over commissioning a new EPC</ital>
                        </link>
                        . Although this practice note has been written with commercial property in mind, the reasoning in this section also applies to residential property.
                      </paratext>
                    </para>
                  </division>
                </drafting.note>
              </subclause2>
              <subclause2 id="a673422">
                <identifier>(f)</identifier>
                <para>
                  <paratext>for any purpose mentioned in this Tenancy or connected with the Landlord’s interest in the Property or any other property; and</paratext>
                </para>
              </subclause2>
              <subclause2 id="a275893">
                <identifier>(g)</identifier>
                <para>
                  <paratext>to show prospective tenants or purchasers around the Property.</paratext>
                </para>
              </subclause2>
            </subclause1>
            <subclause1 id="a909012">
              <identifier>14.2</identifier>
              <para>
                <paratext>The Landlord has the right to retain a set of keys to the Property which shall only be used with the prior consent of the Tenant (except in an emergency).</paratext>
              </para>
            </subclause1>
            <subclause1 id="a185955">
              <identifier>14.3</identifier>
              <para>
                <paratext>The Landlord reserves the right to display a "for sale" or "to let" sign on the Property in the last two months of the Tenancy.</paratext>
              </para>
            </subclause1>
          </clause>
          <clause id="a707826">
            <identifier>15.</identifier>
            <head align="left" preservecase="true">
              <headtext>Expiry of the Tenancy</headtext>
            </head>
            <drafting.note id="a674973" jurisdiction="">
              <head align="left" preservecase="true">
                <headtext>Expiry of the Tenancy</headtext>
              </head>
              <division id="a000052" level="1">
                <para>
                  <paratext>
                    <internal.reference refid="a707826">Clause 15</internal.reference>
                     sets out what should happen at the end of the fixed term of the AST. The legal requirements placed on a landlord or a tenant serving notice to end a tenancy are heavily prescribed. They are considered in detail in 
                    <link href="2-503-9275" style="ACTLinkPLCtoPLC">
                      <ital>Practice note, Ending an assured shorthold tenancy</ital>
                    </link>
                    .
                  </paratext>
                </para>
                <para>
                  <paratext>
                    <internal.reference refid="a124332">Clause 15.2</internal.reference>
                     provides an option for the tenancy to become either a statutory periodic tenancy or a contractual periodic tenancy at the end of the Term.
                  </paratext>
                </para>
                <para>
                  <paratext>
                    Historically, there could be issues where a statutory periodic tenancy arose. The courts decided that a statutory periodic tenancy is a brand new tenancy, and, as such, could sometimes trigger the requirement for a previously unprotected deposit to be protected (see 
                    <link href="9-238-2955#a260476" style="ACTLinkPLCtoPLC">
                      <ital>Practice note, Tenancy Deposit Schemes: Obligation to join a TDS has retrospective effect</ital>
                    </link>
                    ). The position on deposits was changed by the 
                    <link href="8-607-1327" style="ACTLinkPLCtoPLC">
                      <ital>Deregulation Act 2015</ital>
                    </link>
                     (as explained in the practice note) so this is no longer the problem it was. However, the parties may still prefer to choose to have a contractual periodic tenancy, which will be a continuation of the old tenancy.
                  </paratext>
                </para>
                <para>
                  <paratext>In practice, there is now not a great deal to be gained by drafting for a contractual periodic tenancy. It gives certainty within the drafting by allowing the parties to choose the period on which the periodic tenancy is based. In practice, many landlords are content to rely on a statutory periodic tenancy.</paratext>
                </para>
              </division>
            </drafting.note>
            <subclause1 id="a419811">
              <identifier>15.1</identifier>
              <para>
                <paratext>At the end of this Tenancy (howsoever determined), the Tenant shall return the Property and the Contents to the Landlord in the condition required by this agreement.</paratext>
              </para>
            </subclause1>
            <subclause1 id="a124332">
              <identifier>15.2</identifier>
              <para>
                <paratext>
                  If the Landlord allows the Tenant to remain in the Property after the Term has expired then [a statutory periodic tenancy shall arise under section 5(2) of the Housing Act 1988 
                  <bold>OR</bold>
                   the Tenancy shall continue as a contractual periodic tenancy] on a [weekly 
                  <bold>OR</bold>
                   monthly] basis. To end the periodic tenancy, the Tenant shall give the Landlord at least one [week's 
                  <bold>OR</bold>
                   month's] notice in writing. The notice must end on the day before the rent is due.
                </paratext>
              </para>
            </subclause1>
            <subclause1 id="a884051">
              <identifier>15.3</identifier>
              <para>
                <paratext>The Landlord has the right to recover possession of the Property if:</paratext>
              </para>
              <subclause2 id="a945254">
                <identifier>(a)</identifier>
                <para>
                  <paratext>the Term has expired;</paratext>
                </para>
              </subclause2>
              <subclause2 id="a563653">
                <identifier>(b)</identifier>
                <para>
                  <paratext>the Landlord has given two months' notice to the Tenant of the Landlord's intention to recover possession of the Property; and</paratext>
                </para>
              </subclause2>
              <subclause2 id="a747407">
                <identifier>(c)</identifier>
                <para>
                  <paratext>at least six months have passed since the date of this agreement.</paratext>
                </para>
              </subclause2>
            </subclause1>
            <subclause1 id="a684418">
              <identifier>15.4</identifier>
              <para>
                <paratext>The Tenant shall provide the Landlord (or its legal advisers or agents) with a forwarding address once the Tenancy has come to an end [which the Landlord or its legal advisers or agents can provide to the Interested Persons PROVIDED ALWAYS THAT the Landlord (and its legal advisers and agents) agree not to provide details of the Tenant’s forwarding address unless they are satisfied, acting reasonably and properly, that the person requiring the address is a duly authorised official or employee of the organisation in question and has supplied written evidence of their authority].</paratext>
              </para>
              <drafting.note id="a522069" jurisdiction="">
                <head align="left" preservecase="true">
                  <headtext>Passing on the Tenant's forwarding address to others</headtext>
                </head>
                <division id="a000053" level="1">
                  <para>
                    <paratext>
                      This clause contains optional wording allowing the landlord or its agents to pass on the tenant's forwarding address to the Interested Persons who are defined in 
                      <internal.reference refid="a607205">clause 1.1</internal.reference>
                      .
                    </paratext>
                  </para>
                  <para>
                    <paratext>
                      For more information on this issue in the context of data protection under the General Data Protection Regulation which will be coming into force on 25 May 2018, see 
                      <link anchor="a551245" href="w-011-6516" style="ACTLinkPLCtoPLC">
                        <ital>Practice note, GDPR: overview of data protection issues for transactional property lawyers: Granting residential tenancies</ital>
                      </link>
                      .
                    </paratext>
                  </para>
                </division>
              </drafting.note>
            </subclause1>
            <subclause1 id="a810842">
              <identifier>15.5</identifier>
              <para>
                <paratext>The Tenant shall remove all personal possessions from the Property once the Tenancy has ended. If any of the Tenant's personal possessions are left at the Property after the Tenancy has ended, the Landlord shall remove and store the possessions for a maximum of one month. The Landlord shall take reasonable steps to notify the Tenant at the last known address. If the items are not collected within one month, the Landlord may dispose of the items.</paratext>
              </para>
              <drafting.note id="a870498" jurisdiction="">
                <head align="left" preservecase="true">
                  <headtext>Tenant's possessions left in property</headtext>
                </head>
                <division id="a000054" level="1">
                  <para>
                    <paratext>
                      The clause sets out what happens if the Tenant leaves its possessions in the Property at the end of the Term. The clause does not require the Tenant to be responsible for the removal and storage costs because these are not permitted payments under the TFA 2019 or the RHFWA 2019. For more information, see 
                      <link anchor="a134071" href="w-019-2599" style="ACTLinkPLCtoPLC">
                        <ital>Practice note, Prohibited payments under the Tenant Fees Act 2019: Which payments are permitted by the TFA 2019?</ital>
                      </link>
                       and 
                      <link anchor="a788986" href="w-020-5209" style="ACTLinkPLCtoPLC">
                        <ital>Practice note, Prohibited payments under the Renting Homes (Fees etc) (Wales) Act 2019: Which payments are prohibited by the RHFWA 2019?</ital>
                      </link>
                      .
                    </paratext>
                  </para>
                </division>
              </drafting.note>
            </subclause1>
            <subclause1 id="a130009">
              <identifier>15.6</identifier>
              <para>
                <paratext>At the end of the Tenancy, the Tenant must give vacant possession and return the keys to the Property, and any other security devices, to the Landlord.</paratext>
              </para>
            </subclause1>
          </clause>
          <clause id="a849963">
            <identifier>16.</identifier>
            <head align="left" preservecase="true">
              <headtext>Notices</headtext>
            </head>
            <drafting.note id="a336804" jurisdiction="">
              <head align="left" preservecase="true">
                <headtext>Notices</headtext>
              </head>
              <division id="a000055" level="1">
                <para>
                  <paratext>
                    <internal.reference refid="a849963">Clause 16</internal.reference>
                     states that notices served under the agreement must be in writing. The agreement states that faxes and emails are considered to be acceptable ways of giving written notice. The agreement makes provision for email as a valid means of service, in order to comply with TDS requirements.
                  </paratext>
                </para>
                <para>
                  <paratext>Even if the Tenant is not paying a Deposit, it might suit the parties to retain provision for service by email. For example, if a Landlord has let a number of properties on ASTs, it might be easier to administer those lettings if they contain similar provisions.</paratext>
                </para>
                <para>
                  <paratext>The Civil Procedure Rules (CPR) (Practice Direction 6.3) state that when using an electronic method of service, clarification should be sought by the party serving the document as to whether there are any limitations on the party accepting service. Such limitations include the format of the documents to be sent and the maximum size of any attachments. The CPR also make reference to the need for an acknowledgement of receipt of the electronic document if the party serving does not intend to send an additional hard copy.</paratext>
                </para>
                <para>
                  <paratext>
                    If a party to the agreement does not wish to serve or receive notices by email then 
                    <internal.reference refid="a137227">clause 1.9</internal.reference>
                     of the agreement should also be amended to prevent service of notices by electronic means, such as fax or email. The words "or email address" in 
                    <internal.reference refid="a171063">clause 16.1(c)</internal.reference>
                    , 
                    <internal.reference refid="a703125">clause 16.2(c)</internal.reference>
                     and 
                    <internal.reference refid="a558766">clause 16.3(c)</internal.reference>
                     should also be deleted. It might also be sensible not to include email addresses in the Parties clause.
                  </paratext>
                </para>
                <para>
                  <paratext>
                    The 
                    <link href="3-201-3867" style="ACTLinkPLCtoPLC">
                      <ital>former CMA guidance</ital>
                    </link>
                     stated that it might be unfair to require a notice to be sent by registered post if ordinary post would be adequate, as this might cause inconvenience or extra cost to the Tenant. For this reason, the clause does not require the use of registered post or special delivery.
                  </paratext>
                </para>
              </division>
            </drafting.note>
            <subclause1 id="a381565">
              <identifier>16.1</identifier>
              <para>
                <paratext>Any notice to the Landlord sent under or in connection with this agreement shall be deemed to have been properly served if:</paratext>
              </para>
              <subclause2 id="a476757">
                <identifier>(a)</identifier>
                <para>
                  <paratext>
                    sent by first class post to the Landlord's address given in 
                    <internal.reference refid="a109442">clause 16.5</internal.reference>
                    ;
                  </paratext>
                </para>
              </subclause2>
              <subclause2 id="a737344">
                <identifier>(b)</identifier>
                <para>
                  <paratext>
                    left at the Landlord's address given in 
                    <internal.reference refid="a109442">clause 16.5</internal.reference>
                    ; or
                  </paratext>
                </para>
              </subclause2>
              <subclause2 id="a171063">
                <identifier>(c)</identifier>
                <para>
                  <paratext>sent to the Landlord's fax number or email address stated in the Parties clause.</paratext>
                </para>
              </subclause2>
            </subclause1>
            <subclause1 id="a491584">
              <identifier>16.2</identifier>
              <para>
                <paratext>Any notice sent to the Tenant under or in connection with this agreement shall be deemed to have been properly served if:</paratext>
              </para>
              <subclause2 id="a228528">
                <identifier>(a)</identifier>
                <para>
                  <paratext>sent by first class post to the Property;</paratext>
                </para>
              </subclause2>
              <subclause2 id="a862996">
                <identifier>(b)</identifier>
                <para>
                  <paratext>left at the Property; or</paratext>
                </para>
              </subclause2>
              <subclause2 id="a703125">
                <identifier>(c)</identifier>
                <para>
                  <paratext>sent to the Tenant's fax number or email address stated in the Parties clause.</paratext>
                </para>
              </subclause2>
            </subclause1>
            <subclause1 condition="optional" id="a717305">
              <identifier>16.3</identifier>
              <para>
                <paratext>Any notice sent to the Guarantor under or in connection with this agreement shall be deemed to have been properly served if:</paratext>
              </para>
              <subclause2 id="a413564">
                <identifier>(a)</identifier>
                <para>
                  <paratext>sent by first class post to the Guarantor's address stated in the Parties clause;</paratext>
                </para>
              </subclause2>
              <subclause2 id="a833493">
                <identifier>(b)</identifier>
                <para>
                  <paratext>left at the Guarantor's address stated in the Parties clause; or</paratext>
                </para>
              </subclause2>
              <subclause2 id="a558766">
                <identifier>(c)</identifier>
                <para>
                  <paratext>sent to the Guarantor's fax number or email address stated in the Parties clause.</paratext>
                </para>
              </subclause2>
            </subclause1>
            <subclause1 id="a962780">
              <identifier>16.4</identifier>
              <para>
                <paratext>
                  If a notice is given in accordance with 
                  <internal.reference refid="a381565">clause 16.1</internal.reference>
                  [ or][,] 
                  <internal.reference refid="a491584">clause 16.2</internal.reference>
                   [or 
                  <internal.reference refid="a790333">clause 16.3</internal.reference>
                  ], it shall be deemed to have been received:
                </paratext>
              </para>
              <subclause2 id="a599109">
                <identifier>(a)</identifier>
                <para>
                  <paratext>if delivered by hand, at the time the notice is left at the proper address;</paratext>
                </para>
              </subclause2>
              <subclause2 id="a367515">
                <identifier>(b)</identifier>
                <para>
                  <paratext>if sent by first-class post, on the second Working Day after posting;</paratext>
                </para>
              </subclause2>
              <subclause2 id="a664401">
                <identifier>(c)</identifier>
                <para>
                  <paratext>if sent by fax, at 9.00 am on the next Working Day after transmission; or</paratext>
                </para>
              </subclause2>
              <subclause2 id="a611093">
                <identifier>(d)</identifier>
                <para>
                  <paratext>if sent by email, at 9.00 am on the next Working Day after sending.</paratext>
                </para>
              </subclause2>
            </subclause1>
            <subclause1 id="a109442">
              <identifier>16.5</identifier>
              <para>
                <paratext>The Landlord's address for service is [LANDLORD'S ADDRESS FOR SERVICE].</paratext>
              </para>
              <drafting.note id="a245193" jurisdiction="">
                <head align="left" preservecase="true">
                  <headtext>Landlord's address</headtext>
                </head>
                <division id="a000056" level="1">
                  <para>
                    <paratext>
                      <link href="7-510-2373" style="ACTLinkPLCtoPLC">
                        <ital>Section 48</ital>
                      </link>
                       of the 
                      <link href="5-508-3064" style="ACTLinkPLCtoPLC">
                        <ital>Landlord and Tenant Act 1987</ital>
                      </link>
                       requires a Landlord to supply its Tenant with an address in England and Wales for service of notices.
                    </paratext>
                  </para>
                </division>
              </drafting.note>
            </subclause1>
          </clause>
          <clause id="a895084">
            <identifier>17.</identifier>
            <head align="left" preservecase="true">
              <headtext>Governing law</headtext>
            </head>
            <drafting.note id="a967160" jurisdiction="">
              <head align="left" preservecase="true">
                <headtext>Governing law</headtext>
              </head>
              <division id="a000057" level="1">
                <para>
                  <paratext>
                    For more information on this 
                    <internal.reference refid="a895084">clause 17</internal.reference>
                    , see 
                    <link href="4-107-3852" style="ACTLinkPLCtoPLC">
                      <ital>Practice note, Governing law and jurisdiction</ital>
                    </link>
                    <ital> clauses</ital>
                    .
                  </paratext>
                </para>
              </division>
            </drafting.note>
            <subclause1 id="a998649">
              <para>
                <paratext>This agreement and any dispute or claim arising out of or in connection with it or its subject matter or formation (including non-contractual disputes or claims) shall be governed by and construed in accordance with the law of England and Wales.</paratext>
              </para>
            </subclause1>
          </clause>
        </operative>
        <testimonium default="true" wording="contract">
          <para>
            <paratext>This agreement has been entered into on the date stated at the beginning of it.</paratext>
          </para>
        </testimonium>
        <disclosure.schedule>
          <schedule id="a991103">
            <identifier>Schedule 1</identifier>
            <head align="left" preservecase="true">
              <headtext>Lawful Occupiers</headtext>
            </head>
            <drafting.note id="a140976" jurisdiction="">
              <head align="left" preservecase="true">
                <headtext>Lawful Occupiers</headtext>
              </head>
              <division id="a000058" level="1">
                <para>
                  <paratext>
                    The right to rent legislation requires the Landlord to check the immigration status of those living in the Property (see 
                    <internal.reference refid="a487441">Drafting note, Checking the immigration status of tenants</internal.reference>
                    ). This Schedule should be used to record details of each occupier, including the Tenant, and details of each right to rent check. For a list of the documents that can be used to make the checks, see 
                    <link href="1-621-8479#a160201" style="ACTLinkPLCtoPLC">
                      <ital>Immigration Act 2014: overview of the right to rent requirements: Acceptable documents</ital>
                    </link>
                    .
                  </paratext>
                </para>
                <para>
                  <paratext>The Schedule provides for the age of any occupying children to be noted, as the right to rent legislation will apply to them once they turn 18.</paratext>
                </para>
              </division>
            </drafting.note>
            <clause id="a000059">
              <para>
                <paratext>
                  <table frame="all" pgwide="1">
                    <tgroup cols="5">
                      <colspec colname="1" colnum="1" colwidth="19"/>
                      <colspec colname="2" colnum="2" colwidth="13"/>
                      <colspec colname="3" colnum="3" colwidth="28"/>
                      <colspec colname="4" colnum="4" colwidth="22"/>
                      <colspec colname="5" colnum="5" colwidth="15"/>
                      <tbody>
                        <row>
                          <entry valign="top">
                            <para align="left">
                              <paratext>
                                <bold>Name</bold>
                              </paratext>
                            </para>
                          </entry>
                          <entry valign="top">
                            <para align="left">
                              <paratext>
                                <bold>Date of birth</bold>
                                 (note if under 18, or will turn 18 during the term of the tenancy)
                              </paratext>
                            </para>
                          </entry>
                          <entry valign="top">
                            <para align="left">
                              <paratext>
                                <bold>Documents checked</bold>
                              </paratext>
                            </para>
                          </entry>
                          <entry valign="top">
                            <para align="left">
                              <paratext>
                                <bold>Immigration status</bold>
                              </paratext>
                            </para>
                            <para align="left">
                              <paratext>Delete as appropriate</paratext>
                            </para>
                          </entry>
                          <entry valign="top">
                            <para align="left">
                              <paratext>
                                <bold>Date of check</bold>
                              </paratext>
                            </para>
                          </entry>
                        </row>
                        <row>
                          <entry valign="top">
                            <para align="left">
                              <paratext>Tenant:</paratext>
                            </para>
                          </entry>
                          <entry valign="top">
                            <para>
                              <paratext space="default"> </paratext>
                            </para>
                          </entry>
                          <entry valign="top">
                            <para>
                              <paratext space="default"> </paratext>
                            </para>
                          </entry>
                          <entry valign="top">
                            <para align="left">
                              <paratext>Unlimited right to rent/</paratext>
                            </para>
                            <para align="left">
                              <paratext>Time-limited right to rent, expiring on:</paratext>
                            </para>
                          </entry>
                          <entry valign="top">
                            <para>
                              <paratext space="default"> </paratext>
                            </para>
                          </entry>
                        </row>
                        <row>
                          <entry valign="top">
                            <para>
                              <paratext space="default"> </paratext>
                            </para>
                          </entry>
                          <entry valign="top">
                            <para>
                              <paratext space="default"> </paratext>
                            </para>
                          </entry>
                          <entry valign="top">
                            <para>
                              <paratext space="default"> </paratext>
                            </para>
                          </entry>
                          <entry valign="top">
                            <para align="left">
                              <paratext>Unlimited right to rent/</paratext>
                            </para>
                            <para align="left">
                              <paratext>Time-limited right to rent, expiring on:</paratext>
                            </para>
                          </entry>
                          <entry valign="top">
                            <para>
                              <paratext space="default"> </paratext>
                            </para>
                          </entry>
                        </row>
                        <row>
                          <entry valign="top">
                            <para>
                              <paratext space="default"> </paratext>
                            </para>
                          </entry>
                          <entry valign="top">
                            <para>
                              <paratext space="default"> </paratext>
                            </para>
                          </entry>
                          <entry valign="top">
                            <para>
                              <paratext space="default"> </paratext>
                            </para>
                          </entry>
                          <entry valign="top">
                            <para align="left">
                              <paratext>Unlimited right to rent/</paratext>
                            </para>
                            <para align="left">
                              <paratext>Time-limited right to rent, expiring on:</paratext>
                            </para>
                          </entry>
                          <entry valign="top">
                            <para>
                              <paratext space="default"> </paratext>
                            </para>
                          </entry>
                        </row>
                        <row>
                          <entry valign="top">
                            <para>
                              <paratext space="default"> </paratext>
                            </para>
                          </entry>
                          <entry valign="top">
                            <para>
                              <paratext space="default"> </paratext>
                            </para>
                          </entry>
                          <entry valign="top">
                            <para>
                              <paratext space="default"> </paratext>
                            </para>
                          </entry>
                          <entry valign="top">
                            <para align="left">
                              <paratext>Unlimited right to rent/</paratext>
                            </para>
                            <para align="left">
                              <paratext>Time-limited right to rent, expiring on:</paratext>
                            </para>
                          </entry>
                          <entry valign="top">
                            <para>
                              <paratext space="default"> </paratext>
                            </para>
                          </entry>
                        </row>
                      </tbody>
                    </tgroup>
                  </table>
                </paratext>
              </para>
            </clause>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LANDLORD]</paratext>
                        </para>
                      </entry>
                      <entry valign="top">
                        <para>
                          <paratext space="default"> </paratext>
                        </para>
                      </entry>
                      <entry valign="top">
                        <para align="left">
                          <paratext>....................</paratext>
                        </para>
                      </entry>
                    </row>
                    <row>
                      <entry valign="top">
                        <para>
                          <paratext space="default"> </paratext>
                        </para>
                      </entry>
                    </row>
                    <row>
                      <entry nameend="3" namest="1" valign="top">
                        <para>
                          <paratext space="default"> </paratext>
                        </para>
                      </entry>
                    </row>
                    <row>
                      <entry valign="top">
                        <para align="left">
                          <paratext>Signed by [NAME OF TENANT]</paratext>
                        </para>
                      </entry>
                      <entry valign="top">
                        <para>
                          <paratext space="default"> </paratext>
                        </para>
                      </entry>
                      <entry valign="top">
                        <para align="left">
                          <paratext>....................</paratext>
                        </para>
                      </entry>
                    </row>
                    <row>
                      <entry valign="top">
                        <para>
                          <paratext space="default"> </paratext>
                        </para>
                      </entry>
                    </row>
                    <row>
                      <entry nameend="3" namest="1" valign="top">
                        <para>
                          <paratext space="default"> </paratext>
                        </para>
                      </entry>
                    </row>
                    <row>
                      <entry valign="top">
                        <para align="left">
                          <paratext>Signed by [NAME OF GUARANTOR]</paratext>
                        </para>
                      </entry>
                      <entry valign="top">
                        <para>
                          <paratext space="default"> </paratext>
                        </para>
                      </entry>
                      <entry valign="top">
                        <para align="left">
                          <paratext>....................</paratext>
                        </para>
                      </entry>
                    </row>
                    <row>
                      <entry valign="top">
                        <para>
                          <paratext space="default"> </paratext>
                        </para>
                      </entry>
                    </row>
                    <row>
                      <entry nameend="3" namest="1" valign="top">
                        <para>
                          <paratext space="default"> </paratext>
                        </para>
                      </entry>
                    </row>
                  </tbody>
                </tgroup>
              </table>
            </paratext>
          </para>
        </signature>
      </body>
      <rev.history>
        <rev.item>
          <rev.title>Vacant possession and keys (October 2021)</rev.title>
          <rev.date>20211029</rev.date>
          <rev.author>Practical Law Property</rev.author>
          <rev.body>
            <division id="a000001" level="1">
              <para>
                <paratext>
                  We have added 
                  <internal.reference refid="a130009">clause 15.6</internal.reference>
                   to expressly state that vacant possession must be given, and the keys returned to the Landlord, at the end of the tenancy.
                </paratext>
              </para>
            </division>
          </rev.body>
        </rev.item>
        <rev.item>
          <rev.title>Landlord not prevented from serving a section 21 notice where it provided tenant with gas safety certificate after start of tenancy (Court of Appeal) (July 2020)</rev.title>
          <rev.date>20200710</rev.date>
          <rev.author>Practical Law Property</rev.author>
          <rev.body>
            <division id="a000002" level="1">
              <para>
                <paratext>
                  We have updated 
                  <internal.reference refid="a497302">Drafting note, Legal requirements</internal.reference>
                   to refer to the Court of Appeal's decision in 
                  <ital>Trecarrell House Ltd v</ital>
                  <ital>Rouncefield [2020] EWCA Civ 760</ital>
                  .
                </paratext>
              </para>
            </division>
          </rev.body>
        </rev.item>
        <rev.item>
          <rev.title>Renting Homes (Fees etc) (Wales) Act 2019 (June 2020)</rev.title>
          <rev.date>20200626</rev.date>
          <rev.author>Practical Law Property</rev.author>
          <rev.body>
            <division id="a000003" level="1">
              <para>
                <paratext>We have updated the drafting notes to this document to add further detail on the Renting Homes (Fees etc) (Wales) Act 2019.</paratext>
              </para>
            </division>
          </rev.body>
        </rev.item>
        <rev.item>
          <rev.title>Energy Performance Certificate clauses added (June 2020)</rev.title>
          <rev.date>20200617</rev.date>
          <rev.author>Practical Law Property</rev.author>
          <rev.body>
            <division id="a000004" level="1">
              <para>
                <paratext>
                  We have added Energy Performance Certificate (EPC) clauses and new definitions which relate to these clauses. 
                  <internal.reference refid="a925295">clause 7.6</internal.reference>
                   prohibits the tenant from commissioning an EPC without the landlord's consent. Optional 
                  <internal.reference refid="a735191">clause 9.7</internal.reference>
                   prohibits the tenant from carrying out any alterations to the property that would have an adverse effect on the asset rating. 
                  <internal.reference refid="a648320">clause 14.1(e)</internal.reference>
                   reserves the right to inspect the Property for the purpose of preparing an EPC and Recommendation Report for the Property and requires the tenant to co-operate with the landlord to obtain an EPC.
                </paratext>
              </para>
            </division>
          </rev.body>
        </rev.item>
      </rev.history>
    </standard.doc>
  </n-docbody>
</n-document>
</file>

<file path=customXml/item4.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AB48B0D3-C502-475D-B82B-B4F3F781F939}">
  <ds:schemaRefs>
    <ds:schemaRef ds:uri="http://www.w3.org/2001/XMLSchema"/>
  </ds:schemaRefs>
</ds:datastoreItem>
</file>

<file path=customXml/itemProps4.xml><?xml version="1.0" encoding="utf-8"?>
<ds:datastoreItem xmlns:ds="http://schemas.openxmlformats.org/officeDocument/2006/customXml" ds:itemID="{8CB270F5-5997-4B88-8F6D-F725B22ED400}">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ap:Properties xmlns:vt="http://schemas.openxmlformats.org/officeDocument/2006/docPropsVTypes" xmlns:ap="http://schemas.openxmlformats.org/officeDocument/2006/extended-properties">
  <ap:Template>Normal</ap:Template>
  <ap:Pages>15</ap:Pages>
  <ap:Characters>20832</ap:Characters>
  <ap:Application>Microsoft Office Word</ap:Application>
  <ap:DocSecurity>0</ap:DocSecurity>
  <ap:Lines>173</ap:Lines>
  <ap:Paragraphs>48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24438</ap:CharactersWithSpaces>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keywords/>
  <revision>3</revision>
  <lastPrinted>2018-09-18T10:01:00.0000000Z</lastPrinted>
  <dcterms:created xsi:type="dcterms:W3CDTF">2022-09-12T23:20:00.0000000Z</dcterms:created>
  <dcterms:modified xsi:type="dcterms:W3CDTF">1900-01-01T00:00:00.0000000Z</dcterms:modified>
</coreProperties>
</file>